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AC" w:rsidRDefault="001F59AC" w:rsidP="001F59AC">
      <w:pPr>
        <w:pStyle w:val="21"/>
        <w:shd w:val="clear" w:color="auto" w:fill="auto"/>
        <w:spacing w:after="0" w:line="269" w:lineRule="exact"/>
        <w:ind w:left="40" w:firstLine="600"/>
        <w:jc w:val="both"/>
        <w:rPr>
          <w:b/>
          <w:sz w:val="24"/>
          <w:szCs w:val="24"/>
        </w:rPr>
      </w:pPr>
      <w:r w:rsidRPr="00C14B0C">
        <w:rPr>
          <w:b/>
          <w:sz w:val="24"/>
          <w:szCs w:val="24"/>
        </w:rPr>
        <w:t>Из ответа Генерального директор</w:t>
      </w:r>
      <w:proofErr w:type="gramStart"/>
      <w:r w:rsidRPr="00C14B0C">
        <w:rPr>
          <w:b/>
          <w:sz w:val="24"/>
          <w:szCs w:val="24"/>
        </w:rPr>
        <w:t xml:space="preserve">а </w:t>
      </w:r>
      <w:r w:rsidR="007B7448" w:rsidRPr="00C14B0C">
        <w:rPr>
          <w:b/>
          <w:sz w:val="24"/>
          <w:szCs w:val="24"/>
        </w:rPr>
        <w:t>ООО</w:t>
      </w:r>
      <w:proofErr w:type="gramEnd"/>
      <w:r w:rsidR="007B7448" w:rsidRPr="00C14B0C">
        <w:rPr>
          <w:b/>
          <w:sz w:val="24"/>
          <w:szCs w:val="24"/>
        </w:rPr>
        <w:t xml:space="preserve"> «Центр кластерного развития Томской области»</w:t>
      </w:r>
      <w:r w:rsidRPr="00C14B0C">
        <w:rPr>
          <w:b/>
          <w:sz w:val="24"/>
          <w:szCs w:val="24"/>
        </w:rPr>
        <w:t xml:space="preserve"> </w:t>
      </w:r>
      <w:proofErr w:type="spellStart"/>
      <w:r w:rsidRPr="00C14B0C">
        <w:rPr>
          <w:b/>
          <w:sz w:val="24"/>
          <w:szCs w:val="24"/>
        </w:rPr>
        <w:t>Д.В.Таранова</w:t>
      </w:r>
      <w:proofErr w:type="spellEnd"/>
      <w:r w:rsidRPr="00C14B0C">
        <w:rPr>
          <w:b/>
          <w:sz w:val="24"/>
          <w:szCs w:val="24"/>
        </w:rPr>
        <w:t xml:space="preserve">: </w:t>
      </w:r>
    </w:p>
    <w:p w:rsidR="00C14B0C" w:rsidRPr="00C14B0C" w:rsidRDefault="00C14B0C" w:rsidP="001F59AC">
      <w:pPr>
        <w:pStyle w:val="21"/>
        <w:shd w:val="clear" w:color="auto" w:fill="auto"/>
        <w:spacing w:after="0" w:line="269" w:lineRule="exact"/>
        <w:ind w:left="40" w:firstLine="600"/>
        <w:jc w:val="both"/>
        <w:rPr>
          <w:b/>
          <w:sz w:val="24"/>
          <w:szCs w:val="24"/>
        </w:rPr>
      </w:pPr>
    </w:p>
    <w:p w:rsidR="00EA504A" w:rsidRPr="001F59AC" w:rsidRDefault="001F59AC" w:rsidP="001F59AC">
      <w:pPr>
        <w:pStyle w:val="21"/>
        <w:shd w:val="clear" w:color="auto" w:fill="auto"/>
        <w:spacing w:after="0" w:line="269" w:lineRule="exact"/>
        <w:ind w:left="40" w:firstLine="60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 xml:space="preserve"> «</w:t>
      </w:r>
      <w:r w:rsidR="007B7448" w:rsidRPr="001F59AC">
        <w:rPr>
          <w:sz w:val="24"/>
          <w:szCs w:val="24"/>
        </w:rPr>
        <w:t>По вопросу принятия мер, которые необходимы для устранения нарушений, выявленных в ходе проведения контрольного мероприятия «Проверка целевого и эффективного использования в 2012-2014 годах средств субсидии из областного бюджета, предоставленных ООО «Центр кластерного развития Томской области» и указанных в Представлении</w:t>
      </w:r>
      <w:r w:rsidRPr="001F59AC">
        <w:rPr>
          <w:sz w:val="24"/>
          <w:szCs w:val="24"/>
        </w:rPr>
        <w:t xml:space="preserve"> (№ 03-137/1 от 03.04.2015)</w:t>
      </w:r>
      <w:r w:rsidR="007B7448" w:rsidRPr="001F59AC">
        <w:rPr>
          <w:sz w:val="24"/>
          <w:szCs w:val="24"/>
        </w:rPr>
        <w:t>, сообщаем следующее.</w:t>
      </w:r>
    </w:p>
    <w:p w:rsidR="00EA504A" w:rsidRPr="001F59AC" w:rsidRDefault="007B7448" w:rsidP="001F59AC">
      <w:pPr>
        <w:pStyle w:val="21"/>
        <w:numPr>
          <w:ilvl w:val="0"/>
          <w:numId w:val="1"/>
        </w:numPr>
        <w:shd w:val="clear" w:color="auto" w:fill="auto"/>
        <w:tabs>
          <w:tab w:val="left" w:pos="885"/>
        </w:tabs>
        <w:spacing w:after="0" w:line="269" w:lineRule="exact"/>
        <w:ind w:left="40" w:firstLine="60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>В соответствии с п. 1.1. Договора о предоставлении субсидии от 19.12.2013 №2013-02- 03 целью предоставления средств является создание, развитие и обеспечение деятельности организаций инфраструктуры поддержки малого и среднего предпринимательства в части развития и обеспечения деятельности Центра кластерного развития для субъектов малого и среднего и предпринимательства. Указанные средства субсидии были предоставлены на возмещение фактически понесенных затрат на развитие и обеспечение деятельности Центра.</w:t>
      </w:r>
    </w:p>
    <w:p w:rsidR="00EA504A" w:rsidRPr="001F59AC" w:rsidRDefault="007B7448" w:rsidP="001F59AC">
      <w:pPr>
        <w:pStyle w:val="21"/>
        <w:shd w:val="clear" w:color="auto" w:fill="auto"/>
        <w:spacing w:after="0" w:line="269" w:lineRule="exact"/>
        <w:ind w:left="40" w:firstLine="600"/>
        <w:jc w:val="both"/>
        <w:rPr>
          <w:sz w:val="24"/>
          <w:szCs w:val="24"/>
        </w:rPr>
      </w:pPr>
      <w:proofErr w:type="gramStart"/>
      <w:r w:rsidRPr="001F59AC">
        <w:rPr>
          <w:sz w:val="24"/>
          <w:szCs w:val="24"/>
        </w:rPr>
        <w:t>На основании Реестра фактически понесенных затрат (Приложение № 1 к Договору о предоставлении субсидии от 19.12.2013 №2013-02-03) Центром были возмещены расходы в размере 4 300 тыс. руб. Часть указанных средств в размере 750,5 тыс. руб. была не корректно отражена по статье «Прочие текучие расходы», вместо статьи «Оплата услуг сторонних организаций», что, однако, это не меняет цели предоставления субсидии и не влияет</w:t>
      </w:r>
      <w:proofErr w:type="gramEnd"/>
      <w:r w:rsidRPr="001F59AC">
        <w:rPr>
          <w:sz w:val="24"/>
          <w:szCs w:val="24"/>
        </w:rPr>
        <w:t xml:space="preserve"> на целевой характер предоставленной субсидии.</w:t>
      </w:r>
    </w:p>
    <w:p w:rsidR="00EA504A" w:rsidRPr="001F59AC" w:rsidRDefault="007B7448" w:rsidP="001F59AC">
      <w:pPr>
        <w:pStyle w:val="21"/>
        <w:shd w:val="clear" w:color="auto" w:fill="auto"/>
        <w:spacing w:after="0" w:line="269" w:lineRule="exact"/>
        <w:ind w:left="40" w:firstLine="60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>Для подтверждения факта целевого использования средств субсидии в рамках заседания Рабочей группы при Губернаторе Томской области по реализации кластерной политики на территории Томской области в соответствии с Распоряжением Губернатора Томской области от</w:t>
      </w:r>
      <w:r w:rsidR="001F59AC" w:rsidRPr="001F59AC">
        <w:rPr>
          <w:sz w:val="24"/>
          <w:szCs w:val="24"/>
        </w:rPr>
        <w:t xml:space="preserve"> </w:t>
      </w:r>
      <w:r w:rsidRPr="001F59AC">
        <w:rPr>
          <w:sz w:val="24"/>
          <w:szCs w:val="24"/>
        </w:rPr>
        <w:t>№ 225-р, запланировано создание рабочей группы с участием представителей Контрольно-счетной палаты Томской области в срок до 31.05.2015</w:t>
      </w:r>
      <w:r w:rsidR="001F59AC" w:rsidRPr="001F59AC">
        <w:rPr>
          <w:sz w:val="24"/>
          <w:szCs w:val="24"/>
        </w:rPr>
        <w:t xml:space="preserve">. В целях подтверждения целевого использования средств в размере 170,1 </w:t>
      </w:r>
      <w:proofErr w:type="spellStart"/>
      <w:r w:rsidR="001F59AC" w:rsidRPr="001F59AC">
        <w:rPr>
          <w:sz w:val="24"/>
          <w:szCs w:val="24"/>
        </w:rPr>
        <w:t>тыс</w:t>
      </w:r>
      <w:proofErr w:type="gramStart"/>
      <w:r w:rsidR="001F59AC" w:rsidRPr="001F59AC">
        <w:rPr>
          <w:sz w:val="24"/>
          <w:szCs w:val="24"/>
        </w:rPr>
        <w:t>.р</w:t>
      </w:r>
      <w:proofErr w:type="gramEnd"/>
      <w:r w:rsidR="001F59AC" w:rsidRPr="001F59AC">
        <w:rPr>
          <w:sz w:val="24"/>
          <w:szCs w:val="24"/>
        </w:rPr>
        <w:t>уб</w:t>
      </w:r>
      <w:proofErr w:type="spellEnd"/>
      <w:r w:rsidR="001F59AC" w:rsidRPr="001F59AC">
        <w:rPr>
          <w:sz w:val="24"/>
          <w:szCs w:val="24"/>
        </w:rPr>
        <w:t xml:space="preserve">. заключено Дополнительное соглашение №1 от 30.04.2015 к Соглашению о предоставлении субсидии №452 от 26.12.2013 с Финансово-хозяйственным управлением Администрации Томской области, вносящее изменение в части увеличения перечня затрат (добавления начислений на материальное поощрение работников специализированной организации), подлежащих возмещению за счет субсидии (прилагается). </w:t>
      </w:r>
      <w:proofErr w:type="gramStart"/>
      <w:r w:rsidRPr="001F59AC">
        <w:rPr>
          <w:sz w:val="24"/>
          <w:szCs w:val="24"/>
        </w:rPr>
        <w:t>Оплата командировочных расходов генерального директора ЦКР ТО за участие в заседаниях конкурсной комиссии по отбору субъектов РФ для финансирования мероприятий, осуществляемых в рамках оказания государственной помощи малому и среднему предпринимательству субъектами РФ, производилась согласно п.4.1.1.3 Конкурсной документации для проведения конкурсного отбора субъектов Российской Федерации, бюджетам которых в 2014 году предоставляются субсидии для финансирования мероприятий, осуществляемых в рамках оказания государственной</w:t>
      </w:r>
      <w:proofErr w:type="gramEnd"/>
      <w:r w:rsidRPr="001F59AC">
        <w:rPr>
          <w:sz w:val="24"/>
          <w:szCs w:val="24"/>
        </w:rPr>
        <w:t xml:space="preserve"> </w:t>
      </w:r>
      <w:proofErr w:type="gramStart"/>
      <w:r w:rsidRPr="001F59AC">
        <w:rPr>
          <w:sz w:val="24"/>
          <w:szCs w:val="24"/>
        </w:rPr>
        <w:t xml:space="preserve">поддержки малого и среднего предпринимательства субъектами Российской Федерации, утвержденной приказом Минэкономразвития России от 01.07.2014 </w:t>
      </w:r>
      <w:r w:rsidRPr="001F59AC">
        <w:rPr>
          <w:sz w:val="24"/>
          <w:szCs w:val="24"/>
          <w:lang w:val="en-US"/>
        </w:rPr>
        <w:t>N</w:t>
      </w:r>
      <w:r w:rsidRPr="001F59AC">
        <w:rPr>
          <w:sz w:val="24"/>
          <w:szCs w:val="24"/>
        </w:rPr>
        <w:t xml:space="preserve"> 411 "Об организации проведения конкурсного отбора субъектов Российской Федерации, бюджетам которых в 2014 году предоставляются субсидии из федерального бюджета на государственную поддержку малого и среднего предпринимательства субъектами Российской Федерации", где указано, что «ЦКР взаимодействует в интересах участников территориальных кластеров с органами государственной власти и органами</w:t>
      </w:r>
      <w:proofErr w:type="gramEnd"/>
      <w:r w:rsidRPr="001F59AC">
        <w:rPr>
          <w:sz w:val="24"/>
          <w:szCs w:val="24"/>
        </w:rPr>
        <w:t xml:space="preserve"> местного самоуправления».</w:t>
      </w:r>
    </w:p>
    <w:p w:rsidR="00EA504A" w:rsidRPr="001F59AC" w:rsidRDefault="007B7448" w:rsidP="001F59AC">
      <w:pPr>
        <w:pStyle w:val="21"/>
        <w:numPr>
          <w:ilvl w:val="0"/>
          <w:numId w:val="1"/>
        </w:numPr>
        <w:shd w:val="clear" w:color="auto" w:fill="auto"/>
        <w:tabs>
          <w:tab w:val="left" w:pos="894"/>
        </w:tabs>
        <w:spacing w:after="0"/>
        <w:ind w:left="40" w:right="20" w:firstLine="560"/>
        <w:jc w:val="both"/>
        <w:rPr>
          <w:sz w:val="24"/>
          <w:szCs w:val="24"/>
        </w:rPr>
      </w:pPr>
      <w:proofErr w:type="gramStart"/>
      <w:r w:rsidRPr="001F59AC">
        <w:rPr>
          <w:sz w:val="24"/>
          <w:szCs w:val="24"/>
        </w:rPr>
        <w:t>Средства в размере 0,6 тыс. руб., потраченные на изготовление электронных пропусков для прохода в здание Инженерного центра ОЭЗ ТВТ «Томск» двум физическим лицам, фактически не являющимися работниками Центра, признаны Центром использованными не по целевому назначению и в добровольном порядке возвращены в бюджет (копии Письма от 22.04.2015 №НГ-03-0214 и платежного поручения №129 от 05.05.2015 прилагаются).</w:t>
      </w:r>
      <w:proofErr w:type="gramEnd"/>
    </w:p>
    <w:p w:rsidR="00EA504A" w:rsidRPr="001F59AC" w:rsidRDefault="007B7448" w:rsidP="00C14B0C">
      <w:pPr>
        <w:pStyle w:val="21"/>
        <w:shd w:val="clear" w:color="auto" w:fill="auto"/>
        <w:spacing w:after="0"/>
        <w:ind w:left="40" w:firstLine="560"/>
        <w:jc w:val="both"/>
        <w:rPr>
          <w:sz w:val="24"/>
          <w:szCs w:val="24"/>
        </w:rPr>
      </w:pPr>
      <w:proofErr w:type="gramStart"/>
      <w:r w:rsidRPr="001F59AC">
        <w:rPr>
          <w:sz w:val="24"/>
          <w:szCs w:val="24"/>
        </w:rPr>
        <w:t>Согласно уточненным данным по договору ЦКР ТО с ЗАО «</w:t>
      </w:r>
      <w:proofErr w:type="spellStart"/>
      <w:r w:rsidRPr="001F59AC">
        <w:rPr>
          <w:sz w:val="24"/>
          <w:szCs w:val="24"/>
        </w:rPr>
        <w:t>Текора</w:t>
      </w:r>
      <w:proofErr w:type="spellEnd"/>
      <w:r w:rsidRPr="001F59AC">
        <w:rPr>
          <w:sz w:val="24"/>
          <w:szCs w:val="24"/>
        </w:rPr>
        <w:t>-Консалтинг» от</w:t>
      </w:r>
      <w:r w:rsidR="00C14B0C">
        <w:rPr>
          <w:sz w:val="24"/>
          <w:szCs w:val="24"/>
        </w:rPr>
        <w:t xml:space="preserve"> 09.12.2013 </w:t>
      </w:r>
      <w:r w:rsidRPr="001F59AC">
        <w:rPr>
          <w:sz w:val="24"/>
          <w:szCs w:val="24"/>
        </w:rPr>
        <w:t xml:space="preserve">(мероприятие «Создание проектного офиса по реализации кластерных проектов в сфере фармацевтики, медицинской техники и информационных технологий» по соглашению </w:t>
      </w:r>
      <w:r w:rsidR="00C14B0C">
        <w:rPr>
          <w:sz w:val="24"/>
          <w:szCs w:val="24"/>
        </w:rPr>
        <w:t xml:space="preserve"> </w:t>
      </w:r>
      <w:r w:rsidRPr="001F59AC">
        <w:rPr>
          <w:sz w:val="24"/>
          <w:szCs w:val="24"/>
        </w:rPr>
        <w:t>от</w:t>
      </w:r>
      <w:r w:rsidR="00C14B0C">
        <w:rPr>
          <w:sz w:val="24"/>
          <w:szCs w:val="24"/>
        </w:rPr>
        <w:t xml:space="preserve"> 26.12.2013 №452</w:t>
      </w:r>
      <w:r w:rsidRPr="001F59AC">
        <w:rPr>
          <w:sz w:val="24"/>
          <w:szCs w:val="24"/>
        </w:rPr>
        <w:t xml:space="preserve">) услуги оказаны в полном объеме, в </w:t>
      </w:r>
      <w:proofErr w:type="spellStart"/>
      <w:r w:rsidRPr="001F59AC">
        <w:rPr>
          <w:sz w:val="24"/>
          <w:szCs w:val="24"/>
        </w:rPr>
        <w:t>т.ч</w:t>
      </w:r>
      <w:proofErr w:type="spellEnd"/>
      <w:r w:rsidRPr="001F59AC">
        <w:rPr>
          <w:sz w:val="24"/>
          <w:szCs w:val="24"/>
        </w:rPr>
        <w:t xml:space="preserve">. разработана проектная документация (паспорт проекта «Создание клинико-технологического комплекса для развития высокотехнологичной медицинской помощи в области ортопедии, стоматологии и </w:t>
      </w:r>
      <w:r w:rsidRPr="001F59AC">
        <w:rPr>
          <w:sz w:val="24"/>
          <w:szCs w:val="24"/>
        </w:rPr>
        <w:lastRenderedPageBreak/>
        <w:t>нейрохирургии</w:t>
      </w:r>
      <w:proofErr w:type="gramEnd"/>
      <w:r w:rsidRPr="001F59AC">
        <w:rPr>
          <w:sz w:val="24"/>
          <w:szCs w:val="24"/>
        </w:rPr>
        <w:t xml:space="preserve">» и календарный план прилагаются) по реализации приоритетного кластерного проекта компании ООО «МОЙЕ </w:t>
      </w:r>
      <w:proofErr w:type="gramStart"/>
      <w:r w:rsidRPr="001F59AC">
        <w:rPr>
          <w:sz w:val="24"/>
          <w:szCs w:val="24"/>
        </w:rPr>
        <w:t>Керамик-Имплантате</w:t>
      </w:r>
      <w:proofErr w:type="gramEnd"/>
      <w:r w:rsidRPr="001F59AC">
        <w:rPr>
          <w:sz w:val="24"/>
          <w:szCs w:val="24"/>
        </w:rPr>
        <w:t>».</w:t>
      </w:r>
    </w:p>
    <w:p w:rsidR="00EA504A" w:rsidRPr="001F59AC" w:rsidRDefault="007B7448" w:rsidP="003D07F6">
      <w:pPr>
        <w:pStyle w:val="21"/>
        <w:shd w:val="clear" w:color="auto" w:fill="auto"/>
        <w:spacing w:after="0"/>
        <w:ind w:left="40" w:right="20" w:firstLine="56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 xml:space="preserve">Приоритетность кластерного проекта «Создание клинико-технологического комплекса для развития высокотехнологичной медицинской помощи в области ортопедии, стоматологии и нейрохирургии», </w:t>
      </w:r>
      <w:proofErr w:type="gramStart"/>
      <w:r w:rsidRPr="001F59AC">
        <w:rPr>
          <w:sz w:val="24"/>
          <w:szCs w:val="24"/>
        </w:rPr>
        <w:t>инициатором</w:t>
      </w:r>
      <w:proofErr w:type="gramEnd"/>
      <w:r w:rsidRPr="001F59AC">
        <w:rPr>
          <w:sz w:val="24"/>
          <w:szCs w:val="24"/>
        </w:rPr>
        <w:t xml:space="preserve"> которого выступило ООО «МОЙЕ Керамик-Имплантате», подтверждается Протоколом заседания Экспертного совета инновационного территориального кластера «Фармацевтика, медицинская техника и информационные технологии Томской</w:t>
      </w:r>
      <w:r w:rsidR="003D07F6">
        <w:rPr>
          <w:sz w:val="24"/>
          <w:szCs w:val="24"/>
        </w:rPr>
        <w:t xml:space="preserve"> </w:t>
      </w:r>
      <w:r w:rsidRPr="001F59AC">
        <w:rPr>
          <w:sz w:val="24"/>
          <w:szCs w:val="24"/>
        </w:rPr>
        <w:t>области» (Протокол №3 от 21.04.2014 прилагается). Данный проект получил максимальную балльную оценку экспертов (членов Экспертного совета) среди 27 кластерных проектов - 288 из 450 баллов (Экспертное заключение №1/24/04 от 24.04.2014). В связи с этим данный проект был отобран в качестве пилотного проекта по разработке проектной документации (паспорт и календарный план на период 2014-2017 гг.) созданного проектного офиса Центра кластерного развития Томской области.</w:t>
      </w:r>
    </w:p>
    <w:p w:rsidR="00EA504A" w:rsidRPr="001F59AC" w:rsidRDefault="003D07F6" w:rsidP="003D07F6">
      <w:pPr>
        <w:pStyle w:val="21"/>
        <w:shd w:val="clear" w:color="auto" w:fill="auto"/>
        <w:spacing w:after="0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7B7448" w:rsidRPr="001F59AC">
        <w:rPr>
          <w:sz w:val="24"/>
          <w:szCs w:val="24"/>
        </w:rPr>
        <w:t>В рамках обеспечения согласованности действий Центра кластерного развития Томской области с Администрацией Томкой области по постановке проектного офиса по сопровождению кластерных проектов было организовано совместно с курирующим Департаментом промышленности и развития предпринимательства Томской области согласование разработанных документов с представителями государственных органов власти (Начальников Департамента и Заместителей Губернатора Томской области - сопроводительные письма прилагаются).</w:t>
      </w:r>
      <w:proofErr w:type="gramEnd"/>
      <w:r w:rsidR="007B7448" w:rsidRPr="001F59AC">
        <w:rPr>
          <w:sz w:val="24"/>
          <w:szCs w:val="24"/>
        </w:rPr>
        <w:t xml:space="preserve"> Высказанные замечания и предложения нашли свое отражение в измененном варианте Положени</w:t>
      </w:r>
      <w:r>
        <w:rPr>
          <w:sz w:val="24"/>
          <w:szCs w:val="24"/>
        </w:rPr>
        <w:t>я</w:t>
      </w:r>
      <w:r w:rsidR="007B7448" w:rsidRPr="001F59AC">
        <w:rPr>
          <w:sz w:val="24"/>
          <w:szCs w:val="24"/>
        </w:rPr>
        <w:t xml:space="preserve"> о проектном офисе Центра кластерного развития Томской области. </w:t>
      </w:r>
      <w:proofErr w:type="gramStart"/>
      <w:r w:rsidR="007B7448" w:rsidRPr="001F59AC">
        <w:rPr>
          <w:sz w:val="24"/>
          <w:szCs w:val="24"/>
        </w:rPr>
        <w:t>В рамках данных согласовательных процедур планировалось утвердить и разработанную документацию по пилотному проекту, однако в связи с увеличением сроков данного согласования и окончания срока исполнения обязательств по договору ЦКР ТО с ЗАО «</w:t>
      </w:r>
      <w:proofErr w:type="spellStart"/>
      <w:r w:rsidR="007B7448" w:rsidRPr="001F59AC">
        <w:rPr>
          <w:sz w:val="24"/>
          <w:szCs w:val="24"/>
        </w:rPr>
        <w:t>Текора</w:t>
      </w:r>
      <w:proofErr w:type="spellEnd"/>
      <w:r w:rsidR="007B7448" w:rsidRPr="001F59AC">
        <w:rPr>
          <w:sz w:val="24"/>
          <w:szCs w:val="24"/>
        </w:rPr>
        <w:t>-Консалтинг» от 09.12.2013, в котором отсутствовала необходимость прохождения данных процедур для подписания акта-передачи услуг, руководством Центра кластерного развития Томской области было принято решение о завершении работ по данному</w:t>
      </w:r>
      <w:proofErr w:type="gramEnd"/>
      <w:r w:rsidR="007B7448" w:rsidRPr="001F59AC">
        <w:rPr>
          <w:sz w:val="24"/>
          <w:szCs w:val="24"/>
        </w:rPr>
        <w:t xml:space="preserve"> направлению Плана работ к Соглашению о предоставлении субсидии от 26.12.2013 №452. В процессе прохождения согласовательных процедур Положения о проектном офисе Исполнитель в рамках своих компетенций и установившихся деловых связей оказал дополнительные консультационные услуги по разработке проектной документации остальных приоритетных кластерных проектов (всего 7 проектов). Проектная документация по данным 7 кластерным проектам была разработана на основе альбома форм, а также с учетом документации по пилотному проекту ООО «МОЙЕ </w:t>
      </w:r>
      <w:proofErr w:type="gramStart"/>
      <w:r w:rsidR="007B7448" w:rsidRPr="001F59AC">
        <w:rPr>
          <w:sz w:val="24"/>
          <w:szCs w:val="24"/>
        </w:rPr>
        <w:t>Керамик-Имплантате</w:t>
      </w:r>
      <w:proofErr w:type="gramEnd"/>
      <w:r w:rsidR="007B7448" w:rsidRPr="001F59AC">
        <w:rPr>
          <w:sz w:val="24"/>
          <w:szCs w:val="24"/>
        </w:rPr>
        <w:t>».</w:t>
      </w:r>
    </w:p>
    <w:p w:rsidR="00EA504A" w:rsidRPr="001F59AC" w:rsidRDefault="003D07F6" w:rsidP="003D07F6">
      <w:pPr>
        <w:pStyle w:val="21"/>
        <w:shd w:val="clear" w:color="auto" w:fill="auto"/>
        <w:spacing w:after="0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7B7448" w:rsidRPr="001F59AC">
        <w:rPr>
          <w:sz w:val="24"/>
          <w:szCs w:val="24"/>
        </w:rPr>
        <w:t xml:space="preserve">В рамках Соглашения о предоставлении субсидии из областного бюджета № 467 от 30.12.2014, заключенного в целях реализации мероприятий региональной программы «Развитие инновационного территориального кластера «Фармацевтика, медицинская техника и информационные технологии Томской области» на 2013-2016 годы», Центром был заключен Договор № 28/08 от 25.08.2014 с АНО «Томский консорциум научно-образовательных и научных организаций» на оказание услуг по организации и проведению Акселератора </w:t>
      </w:r>
      <w:proofErr w:type="spellStart"/>
      <w:r w:rsidR="007B7448" w:rsidRPr="001F59AC">
        <w:rPr>
          <w:sz w:val="24"/>
          <w:szCs w:val="24"/>
          <w:lang w:val="en-US"/>
        </w:rPr>
        <w:t>BioTechMed</w:t>
      </w:r>
      <w:proofErr w:type="spellEnd"/>
      <w:r w:rsidR="007B7448" w:rsidRPr="001F59AC">
        <w:rPr>
          <w:sz w:val="24"/>
          <w:szCs w:val="24"/>
        </w:rPr>
        <w:t>, направленного</w:t>
      </w:r>
      <w:proofErr w:type="gramEnd"/>
      <w:r w:rsidR="007B7448" w:rsidRPr="001F59AC">
        <w:rPr>
          <w:sz w:val="24"/>
          <w:szCs w:val="24"/>
        </w:rPr>
        <w:t xml:space="preserve"> на создание новых инновационных предприятий. </w:t>
      </w:r>
      <w:proofErr w:type="gramStart"/>
      <w:r w:rsidR="007B7448" w:rsidRPr="001F59AC">
        <w:rPr>
          <w:sz w:val="24"/>
          <w:szCs w:val="24"/>
        </w:rPr>
        <w:t>Услуги были оказаны АНО «Томский консорциум научно-образовательных и научных организаций» в полном объеме и в соответствии с условиями заключенного договора, что подтверждается предоставленным исполнителем скорректированным отчетом об оказании услуг, содержащим информацию о результатах проведения мероприятия и оказания услуг, и подписанным сторонами договора Актом сдачи-приемки оказанных услуг, оформленным в установленном законодательством порядке (копии Отчета и Акта прилагаются).</w:t>
      </w:r>
      <w:proofErr w:type="gramEnd"/>
    </w:p>
    <w:p w:rsidR="00EA504A" w:rsidRPr="001F59AC" w:rsidRDefault="007B7448" w:rsidP="003D07F6">
      <w:pPr>
        <w:pStyle w:val="21"/>
        <w:shd w:val="clear" w:color="auto" w:fill="auto"/>
        <w:spacing w:after="0"/>
        <w:ind w:left="40" w:right="20" w:firstLine="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>Затраты в размере 3 347,4 тыс. руб., понесенные Центром в июле-декабре 2014, были ошибочно отражены в бухгалтерском учете в качестве расходов за счет средств субсидии из федерального бюджета, полученной по Соглашению № 467 от 30.12.2014. В настоящее средства субсидии восстанавливаются на 86 счете «Целевое финансирование» в соответствии с требованиями Плана счетов бухгалтерского учета финансово-хозяйственной деятельности организаций, утв. Приказом Минфина № 94н от 31.10.2000, что подтверждается Справкой по восстановлению средств субсидии из федерального бюджета, полученной по Соглашению № 467 от 30.12.2014 (данный документ прилагается).</w:t>
      </w:r>
    </w:p>
    <w:p w:rsidR="00C14B0C" w:rsidRPr="00C14B0C" w:rsidRDefault="007B7448" w:rsidP="00BA55DD">
      <w:pPr>
        <w:pStyle w:val="21"/>
        <w:numPr>
          <w:ilvl w:val="0"/>
          <w:numId w:val="1"/>
        </w:numPr>
        <w:shd w:val="clear" w:color="auto" w:fill="auto"/>
        <w:spacing w:after="0"/>
        <w:ind w:left="40" w:right="20" w:firstLine="0"/>
        <w:jc w:val="both"/>
        <w:rPr>
          <w:sz w:val="24"/>
          <w:szCs w:val="24"/>
        </w:rPr>
      </w:pPr>
      <w:proofErr w:type="gramStart"/>
      <w:r w:rsidRPr="00C14B0C">
        <w:rPr>
          <w:sz w:val="24"/>
          <w:szCs w:val="24"/>
        </w:rPr>
        <w:t xml:space="preserve">Для подтверждения обоснованного использования средств, предоставленных Центру по Договору о предоставлении субсидии № 2014-02-02 от 05.11.2014 и Соглашению о предоставлении субсидии № 467 от 30.12.2014, на оплату расходов по статье «Командировки» по авансовым отчетам Д.В. </w:t>
      </w:r>
      <w:proofErr w:type="spellStart"/>
      <w:r w:rsidRPr="00C14B0C">
        <w:rPr>
          <w:sz w:val="24"/>
          <w:szCs w:val="24"/>
        </w:rPr>
        <w:t>Таранова</w:t>
      </w:r>
      <w:proofErr w:type="spellEnd"/>
      <w:r w:rsidRPr="00C14B0C">
        <w:rPr>
          <w:sz w:val="24"/>
          <w:szCs w:val="24"/>
        </w:rPr>
        <w:t xml:space="preserve"> и И.Э. Соколовского в размере 136,0 тыс. руб., указанными сотрудниками Центра были подготовлены отчеты о выполнении командировочных</w:t>
      </w:r>
      <w:r w:rsidR="00BA55DD">
        <w:rPr>
          <w:sz w:val="24"/>
          <w:szCs w:val="24"/>
        </w:rPr>
        <w:t xml:space="preserve"> </w:t>
      </w:r>
      <w:r w:rsidR="00BA55DD" w:rsidRPr="001F59AC">
        <w:rPr>
          <w:sz w:val="24"/>
          <w:szCs w:val="24"/>
        </w:rPr>
        <w:t xml:space="preserve">заданий, а </w:t>
      </w:r>
      <w:r w:rsidR="00BA55DD">
        <w:rPr>
          <w:sz w:val="24"/>
          <w:szCs w:val="24"/>
        </w:rPr>
        <w:t xml:space="preserve">в </w:t>
      </w:r>
      <w:r w:rsidR="00BA55DD" w:rsidRPr="001F59AC">
        <w:rPr>
          <w:sz w:val="24"/>
          <w:szCs w:val="24"/>
        </w:rPr>
        <w:t>командировочных удостоверениях проставлены цель</w:t>
      </w:r>
      <w:proofErr w:type="gramEnd"/>
      <w:r w:rsidR="00BA55DD" w:rsidRPr="001F59AC">
        <w:rPr>
          <w:sz w:val="24"/>
          <w:szCs w:val="24"/>
        </w:rPr>
        <w:t xml:space="preserve"> командировки и содержание</w:t>
      </w:r>
      <w:r w:rsidR="00BA55DD">
        <w:rPr>
          <w:sz w:val="24"/>
          <w:szCs w:val="24"/>
        </w:rPr>
        <w:t xml:space="preserve"> </w:t>
      </w:r>
      <w:r w:rsidR="00BA55DD" w:rsidRPr="001F59AC">
        <w:rPr>
          <w:sz w:val="24"/>
          <w:szCs w:val="24"/>
        </w:rPr>
        <w:t>задания (копии документов прилагаются).</w:t>
      </w:r>
      <w:r w:rsidR="00BA55DD">
        <w:rPr>
          <w:sz w:val="24"/>
          <w:szCs w:val="24"/>
        </w:rPr>
        <w:t xml:space="preserve"> </w:t>
      </w:r>
    </w:p>
    <w:p w:rsidR="00EA504A" w:rsidRPr="001F59AC" w:rsidRDefault="00EA504A">
      <w:pPr>
        <w:pStyle w:val="a6"/>
        <w:framePr w:wrap="none" w:vAnchor="page" w:hAnchor="page" w:x="6097" w:y="16153"/>
        <w:shd w:val="clear" w:color="auto" w:fill="auto"/>
        <w:spacing w:line="170" w:lineRule="exact"/>
        <w:ind w:left="20"/>
        <w:rPr>
          <w:sz w:val="24"/>
          <w:szCs w:val="24"/>
        </w:rPr>
      </w:pPr>
    </w:p>
    <w:p w:rsidR="003D07F6" w:rsidRPr="001F59AC" w:rsidRDefault="003D07F6" w:rsidP="003D07F6">
      <w:pPr>
        <w:pStyle w:val="21"/>
        <w:shd w:val="clear" w:color="auto" w:fill="auto"/>
        <w:spacing w:after="0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Для подтверждения расходов по выплате сотрудникам ООО «ЦКРТО» премий с учетом районного коэффициента в размере 1994,5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подготовлены отчеты, являющиеся основанием для начисления и выплаты премий (прилагаются). </w:t>
      </w:r>
    </w:p>
    <w:p w:rsidR="00BA55DD" w:rsidRDefault="007B7448" w:rsidP="00BA55DD">
      <w:pPr>
        <w:pStyle w:val="21"/>
        <w:shd w:val="clear" w:color="auto" w:fill="auto"/>
        <w:spacing w:after="0"/>
        <w:ind w:left="40" w:right="40" w:firstLine="56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>В дальнейшем при осуществлении расходов Центром будут оформляться все предусмотренные документы в полном объеме и в соответствии с нормами действующего законодательства и локальных актов, принятых Центром.</w:t>
      </w:r>
      <w:r w:rsidR="00BA55DD">
        <w:rPr>
          <w:sz w:val="24"/>
          <w:szCs w:val="24"/>
        </w:rPr>
        <w:t xml:space="preserve"> </w:t>
      </w:r>
    </w:p>
    <w:p w:rsidR="00BA55DD" w:rsidRDefault="00BA55DD" w:rsidP="00BA55DD">
      <w:pPr>
        <w:pStyle w:val="21"/>
        <w:shd w:val="clear" w:color="auto" w:fill="auto"/>
        <w:spacing w:after="0"/>
        <w:ind w:left="40" w:right="40" w:firstLine="560"/>
        <w:jc w:val="both"/>
        <w:rPr>
          <w:sz w:val="24"/>
          <w:szCs w:val="24"/>
        </w:rPr>
      </w:pPr>
    </w:p>
    <w:p w:rsidR="00EA504A" w:rsidRPr="001F59AC" w:rsidRDefault="007B7448" w:rsidP="00BA55DD">
      <w:pPr>
        <w:pStyle w:val="21"/>
        <w:numPr>
          <w:ilvl w:val="0"/>
          <w:numId w:val="1"/>
        </w:numPr>
        <w:shd w:val="clear" w:color="auto" w:fill="auto"/>
        <w:tabs>
          <w:tab w:val="left" w:pos="909"/>
        </w:tabs>
        <w:spacing w:after="0"/>
        <w:ind w:left="40" w:right="40" w:firstLine="560"/>
        <w:jc w:val="both"/>
        <w:rPr>
          <w:sz w:val="24"/>
          <w:szCs w:val="24"/>
        </w:rPr>
      </w:pPr>
      <w:proofErr w:type="gramStart"/>
      <w:r w:rsidRPr="001F59AC">
        <w:rPr>
          <w:sz w:val="24"/>
          <w:szCs w:val="24"/>
        </w:rPr>
        <w:t>В декабре 2013 года ООО «Центр кластерного развития Томской области» в составе заявки на субсидию предоставил в Департамент по науке и инновационной политике Администрации Томской области документы, подтверждающие произведенные расходы по направлениям реализации региональной программы «Развитие инновационного территориального кластера «Фармацевтика, медицинская техника и информационные технологии Томской области» на 2013 - 2016 годы»: платежные поручения, Договоры и счета.</w:t>
      </w:r>
      <w:proofErr w:type="gramEnd"/>
      <w:r w:rsidRPr="001F59AC">
        <w:rPr>
          <w:sz w:val="24"/>
          <w:szCs w:val="24"/>
        </w:rPr>
        <w:t xml:space="preserve"> По нескольким договорам было предусмотрено поэтапное выполнение работ, направленных на достижение показателей результативности предоставления субсидии. </w:t>
      </w:r>
      <w:proofErr w:type="spellStart"/>
      <w:r w:rsidRPr="001F59AC">
        <w:rPr>
          <w:sz w:val="24"/>
          <w:szCs w:val="24"/>
        </w:rPr>
        <w:t>Невозмещение</w:t>
      </w:r>
      <w:proofErr w:type="spellEnd"/>
      <w:r w:rsidRPr="001F59AC">
        <w:rPr>
          <w:sz w:val="24"/>
          <w:szCs w:val="24"/>
        </w:rPr>
        <w:t xml:space="preserve"> осуществленных Центром затрат в полном объеме по таким договорам ставило под угрозу срыва достижение ряда показателей по соглашению между Администрацией Томской области и Министерством экономического развития Российской Федерации от 18.12.2013 № 13-ИТК-13 «О предоставлении субсидии из федерального бюджета бюджету Томской области на реализацию программы развития пилотного инновационного территориального кластера «Фармацевтика, медицинская техника и информационные технологии Томской области». Подпунктом «е» пункта 2.4. данного соглашения установлен срок предоставления отчета о достижении </w:t>
      </w:r>
      <w:proofErr w:type="gramStart"/>
      <w:r w:rsidRPr="001F59AC">
        <w:rPr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Pr="001F59AC">
        <w:rPr>
          <w:sz w:val="24"/>
          <w:szCs w:val="24"/>
        </w:rPr>
        <w:t xml:space="preserve"> 2013 года не позднее 01.03.2016. В результате было принято решение выдать субсидию Центру по факту произведенных затрат, сдвинув срок предоставления отчетности по соглашению от 26.12.2013 № 452 на декабрь 2014 года.</w:t>
      </w:r>
    </w:p>
    <w:p w:rsidR="00EA504A" w:rsidRDefault="007B7448" w:rsidP="00BA55DD">
      <w:pPr>
        <w:pStyle w:val="21"/>
        <w:numPr>
          <w:ilvl w:val="0"/>
          <w:numId w:val="1"/>
        </w:numPr>
        <w:shd w:val="clear" w:color="auto" w:fill="auto"/>
        <w:spacing w:after="0"/>
        <w:ind w:left="40" w:right="40" w:firstLine="560"/>
        <w:jc w:val="both"/>
        <w:rPr>
          <w:sz w:val="24"/>
          <w:szCs w:val="24"/>
        </w:rPr>
      </w:pPr>
      <w:proofErr w:type="gramStart"/>
      <w:r w:rsidRPr="001F59AC">
        <w:rPr>
          <w:sz w:val="24"/>
          <w:szCs w:val="24"/>
        </w:rPr>
        <w:t>В настоящее время на рассмотрении в Администрации Томской области находится проект постановления, закрепляющий новый порядок предоставления субсидий юридическим лицам (за исключением субсидий государственным (муниципальным) учреждениям) в целях финансового обеспечения затрат, возникающих при реализации отдельных мероприятий государственной программы «Развитие инновационной деятельности и науки в Томской области», в рамках которого Центр будет получать субсидии (проект документа прилагается).</w:t>
      </w:r>
      <w:proofErr w:type="gramEnd"/>
      <w:r w:rsidRPr="001F59AC">
        <w:rPr>
          <w:sz w:val="24"/>
          <w:szCs w:val="24"/>
        </w:rPr>
        <w:t xml:space="preserve"> Это в дальнейшем позволит избежать процессов, связанных с возмещением осуществленных Центром затрат.</w:t>
      </w:r>
    </w:p>
    <w:p w:rsidR="003D07F6" w:rsidRDefault="003D07F6" w:rsidP="003D07F6">
      <w:pPr>
        <w:pStyle w:val="21"/>
        <w:shd w:val="clear" w:color="auto" w:fill="auto"/>
        <w:spacing w:after="0"/>
        <w:ind w:left="40" w:right="4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Утверждено Положение об оплате труда, премировании и дополнительных выплатах работникам ООО «Центр кластерного развития Томской области», а также об оказании работникам материальной помощи в новой редакции, </w:t>
      </w:r>
      <w:proofErr w:type="gramStart"/>
      <w:r>
        <w:rPr>
          <w:sz w:val="24"/>
          <w:szCs w:val="24"/>
        </w:rPr>
        <w:t>устанавливающее</w:t>
      </w:r>
      <w:proofErr w:type="gramEnd"/>
      <w:r>
        <w:rPr>
          <w:sz w:val="24"/>
          <w:szCs w:val="24"/>
        </w:rPr>
        <w:t xml:space="preserve"> условия и показатели премирования, нормы, определяющие размер и порядок выплаты премий, случаи оказания материальной помощи.</w:t>
      </w:r>
    </w:p>
    <w:p w:rsidR="003D07F6" w:rsidRDefault="003D07F6" w:rsidP="003D07F6">
      <w:pPr>
        <w:pStyle w:val="21"/>
        <w:shd w:val="clear" w:color="auto" w:fill="auto"/>
        <w:spacing w:after="0"/>
        <w:ind w:left="40" w:right="4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Подготовлено штатное расписание ООО «ЦКРТО» в новой редакции (прилагается). Общий плановый фонд оплаты труда пересмотрен и сформирован в соответствии с внесением </w:t>
      </w:r>
      <w:r w:rsidR="005326DD">
        <w:rPr>
          <w:sz w:val="24"/>
          <w:szCs w:val="24"/>
        </w:rPr>
        <w:t xml:space="preserve">в штатное расписание изменениями. </w:t>
      </w:r>
      <w:r>
        <w:rPr>
          <w:sz w:val="24"/>
          <w:szCs w:val="24"/>
        </w:rPr>
        <w:t xml:space="preserve"> </w:t>
      </w:r>
    </w:p>
    <w:p w:rsidR="00EA504A" w:rsidRPr="001F59AC" w:rsidRDefault="005326DD" w:rsidP="005326DD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after="0"/>
        <w:ind w:left="40" w:right="40" w:firstLine="52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7B7448" w:rsidRPr="001F59AC">
        <w:rPr>
          <w:sz w:val="24"/>
          <w:szCs w:val="24"/>
        </w:rPr>
        <w:t xml:space="preserve">словие о документальном оформлении результатов работы подразделения в целом и в соответствии с личным вкладом каждого работника </w:t>
      </w:r>
      <w:r>
        <w:rPr>
          <w:sz w:val="24"/>
          <w:szCs w:val="24"/>
        </w:rPr>
        <w:t xml:space="preserve">в Положении об оплате труда, премировании и дополнительных выплатах </w:t>
      </w:r>
      <w:r w:rsidR="007B7448" w:rsidRPr="001F59AC">
        <w:rPr>
          <w:sz w:val="24"/>
          <w:szCs w:val="24"/>
        </w:rPr>
        <w:t>отсутствует. Все премии были оформлены приказами генерального директора и выплачены в соответствии с требованиями действующего в Центре Положения об оплате труда, премирования и дополнительных выплат.</w:t>
      </w:r>
    </w:p>
    <w:p w:rsidR="00EA504A" w:rsidRPr="001F59AC" w:rsidRDefault="007B7448" w:rsidP="005326DD">
      <w:pPr>
        <w:pStyle w:val="21"/>
        <w:numPr>
          <w:ilvl w:val="0"/>
          <w:numId w:val="1"/>
        </w:numPr>
        <w:shd w:val="clear" w:color="auto" w:fill="auto"/>
        <w:tabs>
          <w:tab w:val="left" w:pos="885"/>
        </w:tabs>
        <w:spacing w:after="0"/>
        <w:ind w:left="40" w:right="40" w:firstLine="58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>В срок до 02.06.2015 после утверждения Положения об оплате труда, премирования и дополнительных выплат для сотрудников ООО «Центр кластерного развития Томской области» в новой редакции трудовые договоры с сотрудниками Центра будут приведены в соответствие с ним. Также будут устранены нарушения требований статьи 135 Трудового кодекса РФ.</w:t>
      </w:r>
    </w:p>
    <w:p w:rsidR="00EA504A" w:rsidRPr="001F59AC" w:rsidRDefault="007B7448" w:rsidP="005326DD">
      <w:pPr>
        <w:pStyle w:val="21"/>
        <w:numPr>
          <w:ilvl w:val="0"/>
          <w:numId w:val="1"/>
        </w:numPr>
        <w:shd w:val="clear" w:color="auto" w:fill="auto"/>
        <w:tabs>
          <w:tab w:val="left" w:pos="880"/>
        </w:tabs>
        <w:spacing w:after="0"/>
        <w:ind w:left="40" w:right="40" w:firstLine="58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>В соответствии с положениями Федерального закона № 14-ФЗ от 08.02.1998 «Об обществах с ограниченной ответственностью» в Устав Центра внесены следующие изменения, касающиеся одобрения крупных сделок (проект Устава в новой редакции прилагается):</w:t>
      </w:r>
    </w:p>
    <w:p w:rsidR="00EA504A" w:rsidRPr="001F59AC" w:rsidRDefault="007B7448" w:rsidP="005326DD">
      <w:pPr>
        <w:pStyle w:val="21"/>
        <w:numPr>
          <w:ilvl w:val="0"/>
          <w:numId w:val="7"/>
        </w:numPr>
        <w:shd w:val="clear" w:color="auto" w:fill="auto"/>
        <w:tabs>
          <w:tab w:val="left" w:pos="883"/>
        </w:tabs>
        <w:spacing w:after="0" w:line="269" w:lineRule="exact"/>
        <w:ind w:left="900" w:right="40"/>
        <w:jc w:val="both"/>
        <w:rPr>
          <w:sz w:val="24"/>
          <w:szCs w:val="24"/>
        </w:rPr>
      </w:pPr>
      <w:proofErr w:type="gramStart"/>
      <w:r w:rsidRPr="001F59AC">
        <w:rPr>
          <w:sz w:val="24"/>
          <w:szCs w:val="24"/>
        </w:rPr>
        <w:t>подпункт 5 пункта 14.1. в части стоимости имущества, которое является предметом крупной сделки по приобретению, отчуждению (возможному отчуждению) этого имущества (новая редакция: «пункт 14.1. 5) принятие решений об одобрении крупных сделок, связанных с приобретением отчуждением или возможностью отчуждения Обществом прямо либо косвенно имущества, стоимость которого составляет от двадцати пяти до пятидесяти процентов стоимости имущества Общества, определенной на основании данных бухгалтерской</w:t>
      </w:r>
      <w:proofErr w:type="gramEnd"/>
      <w:r w:rsidRPr="001F59AC">
        <w:rPr>
          <w:sz w:val="24"/>
          <w:szCs w:val="24"/>
        </w:rPr>
        <w:t xml:space="preserve"> отчетности за последний отчетный период»);</w:t>
      </w:r>
    </w:p>
    <w:p w:rsidR="00EA504A" w:rsidRPr="001F59AC" w:rsidRDefault="007B7448" w:rsidP="005326DD">
      <w:pPr>
        <w:pStyle w:val="21"/>
        <w:numPr>
          <w:ilvl w:val="0"/>
          <w:numId w:val="7"/>
        </w:numPr>
        <w:shd w:val="clear" w:color="auto" w:fill="auto"/>
        <w:tabs>
          <w:tab w:val="left" w:pos="883"/>
        </w:tabs>
        <w:spacing w:after="0" w:line="269" w:lineRule="exact"/>
        <w:ind w:left="900" w:right="4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>подпункт 2 пункта 14.1. в части установления размера вознаграждений и денежных компенсаций генеральному директору (</w:t>
      </w:r>
      <w:proofErr w:type="spellStart"/>
      <w:proofErr w:type="gramStart"/>
      <w:r w:rsidRPr="001F59AC">
        <w:rPr>
          <w:sz w:val="24"/>
          <w:szCs w:val="24"/>
        </w:rPr>
        <w:t>Вр.и</w:t>
      </w:r>
      <w:proofErr w:type="gramEnd"/>
      <w:r w:rsidRPr="001F59AC">
        <w:rPr>
          <w:sz w:val="24"/>
          <w:szCs w:val="24"/>
        </w:rPr>
        <w:t>.о</w:t>
      </w:r>
      <w:proofErr w:type="spellEnd"/>
      <w:r w:rsidRPr="001F59AC">
        <w:rPr>
          <w:sz w:val="24"/>
          <w:szCs w:val="24"/>
        </w:rPr>
        <w:t>. генерального директора) Центра (в новой редакции исключен);</w:t>
      </w:r>
    </w:p>
    <w:p w:rsidR="00EA504A" w:rsidRPr="001F59AC" w:rsidRDefault="007B7448" w:rsidP="005326DD">
      <w:pPr>
        <w:pStyle w:val="21"/>
        <w:numPr>
          <w:ilvl w:val="0"/>
          <w:numId w:val="7"/>
        </w:numPr>
        <w:shd w:val="clear" w:color="auto" w:fill="auto"/>
        <w:tabs>
          <w:tab w:val="left" w:pos="883"/>
        </w:tabs>
        <w:spacing w:after="0" w:line="269" w:lineRule="exact"/>
        <w:ind w:left="900" w:right="4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>подпункт 4 пункта 14.1 в части полномочий по назначению аудиторской проверки, утверждению аудитора и установления размера оплаты его услуг (в новой редакции полномочия переданы Общему собранию участников);</w:t>
      </w:r>
    </w:p>
    <w:p w:rsidR="00EA504A" w:rsidRDefault="007B7448" w:rsidP="005326DD">
      <w:pPr>
        <w:pStyle w:val="21"/>
        <w:numPr>
          <w:ilvl w:val="0"/>
          <w:numId w:val="7"/>
        </w:numPr>
        <w:shd w:val="clear" w:color="auto" w:fill="auto"/>
        <w:tabs>
          <w:tab w:val="left" w:pos="878"/>
        </w:tabs>
        <w:spacing w:after="0"/>
        <w:ind w:left="900" w:right="4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>во исполнение пункта 14.5 было подготовлено и утверждено Положение о Наблюдательном совете Центра, определяющее порядок образования и деятельности Наблюдательного совета, порядок прекращения полномочий членов Наблюдательного совета, компетенцию председателя Наблюдательного совета (копия Положения о Наблюдательном совете Центра прилагается).</w:t>
      </w:r>
    </w:p>
    <w:p w:rsidR="005326DD" w:rsidRPr="001F59AC" w:rsidRDefault="005326DD" w:rsidP="005326DD">
      <w:pPr>
        <w:pStyle w:val="21"/>
        <w:shd w:val="clear" w:color="auto" w:fill="auto"/>
        <w:tabs>
          <w:tab w:val="left" w:pos="0"/>
        </w:tabs>
        <w:spacing w:after="0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налоговых органах г. Томска зарегистрирован Устав ООО «ЦКРТО» в новой редакции с изменениями, касающимися одобрения крупных сделок (прилагается). Положение о Наблюдательном совете утверждено решением единственного участник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«ЦКРТО» №15 от 27.04.2015 (положение и решение прилагаются). </w:t>
      </w:r>
    </w:p>
    <w:p w:rsidR="00EA504A" w:rsidRPr="001F59AC" w:rsidRDefault="007B7448" w:rsidP="005326DD">
      <w:pPr>
        <w:pStyle w:val="21"/>
        <w:shd w:val="clear" w:color="auto" w:fill="auto"/>
        <w:spacing w:after="0"/>
        <w:ind w:left="40" w:right="40" w:firstLine="58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>В 2012 году ревизионной комиссией Центра не было подготовлено заключение и аудит бухгалтерской (</w:t>
      </w:r>
      <w:proofErr w:type="gramStart"/>
      <w:r w:rsidRPr="001F59AC">
        <w:rPr>
          <w:sz w:val="24"/>
          <w:szCs w:val="24"/>
        </w:rPr>
        <w:t xml:space="preserve">финансовой) </w:t>
      </w:r>
      <w:proofErr w:type="gramEnd"/>
      <w:r w:rsidRPr="001F59AC">
        <w:rPr>
          <w:sz w:val="24"/>
          <w:szCs w:val="24"/>
        </w:rPr>
        <w:t>отчетности не был проведен, в 2013 году указанные действия были проведены, заключение ревизионной комиссии подготовлено (копия аудиторского заключения за 2013 год ООО «</w:t>
      </w:r>
      <w:proofErr w:type="spellStart"/>
      <w:r w:rsidRPr="001F59AC">
        <w:rPr>
          <w:sz w:val="24"/>
          <w:szCs w:val="24"/>
        </w:rPr>
        <w:t>Томаудит</w:t>
      </w:r>
      <w:proofErr w:type="spellEnd"/>
      <w:r w:rsidRPr="001F59AC">
        <w:rPr>
          <w:sz w:val="24"/>
          <w:szCs w:val="24"/>
        </w:rPr>
        <w:t>» прилагается). В настоящее время проводится аудит бухгалтерской (финансовой) отчетности Центра за 2014 год. В дальнейшем аудит бухгалтерской отчетности будет проводиться ежегодно в соответствии с Уставом Центра. Аудиторская компания и размер оплаты аудиторских услуг будут утверждаться в порядке, предусмотренном Уставом Центра.</w:t>
      </w:r>
    </w:p>
    <w:p w:rsidR="00EA504A" w:rsidRPr="001F59AC" w:rsidRDefault="007B7448" w:rsidP="005326DD">
      <w:pPr>
        <w:pStyle w:val="21"/>
        <w:shd w:val="clear" w:color="auto" w:fill="auto"/>
        <w:spacing w:after="0"/>
        <w:ind w:left="40" w:right="40" w:firstLine="58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>Задолженность ООО «Старт», возникшая в связи с неисполнением ООО «Старт» своих обязательств по договору займа б/н от 31.07.2013,  погашена</w:t>
      </w:r>
      <w:r w:rsidR="009C5803">
        <w:rPr>
          <w:sz w:val="24"/>
          <w:szCs w:val="24"/>
        </w:rPr>
        <w:t xml:space="preserve">, что подтверждается бухгалтерскими документами. </w:t>
      </w:r>
    </w:p>
    <w:p w:rsidR="00EA504A" w:rsidRPr="001F59AC" w:rsidRDefault="007B7448" w:rsidP="005326DD">
      <w:pPr>
        <w:pStyle w:val="21"/>
        <w:shd w:val="clear" w:color="auto" w:fill="auto"/>
        <w:spacing w:after="0"/>
        <w:ind w:left="40" w:right="40" w:firstLine="58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 xml:space="preserve">По поводу утверждения органами управления Центром - Общим собранием участников и Наблюдательным советом, документов, имеющих стратегическое значение - в дальнейшем Центр будет </w:t>
      </w:r>
      <w:proofErr w:type="gramStart"/>
      <w:r w:rsidRPr="001F59AC">
        <w:rPr>
          <w:sz w:val="24"/>
          <w:szCs w:val="24"/>
        </w:rPr>
        <w:t>отслеживать</w:t>
      </w:r>
      <w:proofErr w:type="gramEnd"/>
      <w:r w:rsidRPr="001F59AC">
        <w:rPr>
          <w:sz w:val="24"/>
          <w:szCs w:val="24"/>
        </w:rPr>
        <w:t xml:space="preserve"> и контролировать данный процесс.</w:t>
      </w:r>
    </w:p>
    <w:p w:rsidR="00EA504A" w:rsidRDefault="007B7448" w:rsidP="009C5803">
      <w:pPr>
        <w:pStyle w:val="21"/>
        <w:numPr>
          <w:ilvl w:val="0"/>
          <w:numId w:val="1"/>
        </w:numPr>
        <w:shd w:val="clear" w:color="auto" w:fill="auto"/>
        <w:tabs>
          <w:tab w:val="left" w:pos="899"/>
        </w:tabs>
        <w:spacing w:after="0"/>
        <w:ind w:left="40" w:right="40" w:firstLine="580"/>
        <w:jc w:val="both"/>
        <w:rPr>
          <w:sz w:val="24"/>
          <w:szCs w:val="24"/>
        </w:rPr>
      </w:pPr>
      <w:r w:rsidRPr="009C5803">
        <w:rPr>
          <w:sz w:val="24"/>
          <w:szCs w:val="24"/>
        </w:rPr>
        <w:t xml:space="preserve">Во исполнение требований Федерального закона № 223-Ф3 от 18.07.2011 </w:t>
      </w:r>
      <w:r w:rsidR="009C5803" w:rsidRPr="009C5803">
        <w:rPr>
          <w:sz w:val="24"/>
          <w:szCs w:val="24"/>
        </w:rPr>
        <w:t xml:space="preserve">«О закупках товаров, работ, услуг отдельными видами юридических лиц» ООО «ЦКРТО» </w:t>
      </w:r>
      <w:r w:rsidRPr="009C5803">
        <w:rPr>
          <w:sz w:val="24"/>
          <w:szCs w:val="24"/>
        </w:rPr>
        <w:t xml:space="preserve"> разраб</w:t>
      </w:r>
      <w:r w:rsidR="009C5803" w:rsidRPr="009C5803">
        <w:rPr>
          <w:sz w:val="24"/>
          <w:szCs w:val="24"/>
        </w:rPr>
        <w:t xml:space="preserve">отан пакет документации для проведения закупок: новая редакция Положения о закупках товаров, работ, услуг для нужд ООО «ЦКРТО», проекты извещения о проведении закупки, документации о проведении закупки, плана-графика закупок (прилагаются). Указанные документы размещены в единой информационной системе генеральным директором  ООО «ЦКРТО» (скриншоты с сайта прилагаются). </w:t>
      </w:r>
      <w:proofErr w:type="gramStart"/>
      <w:r w:rsidR="009C5803">
        <w:rPr>
          <w:sz w:val="24"/>
          <w:szCs w:val="24"/>
        </w:rPr>
        <w:t xml:space="preserve">В соответствии с новой редакцией Положения о  закупках товаров, работ, услуг для нужд ООО «ЦКРТО» и планом-графиком закупок ООО «ЦКРТО» проведена первая закупка – запрос предложений  на оказание услуг по организации и проведению мероприятий в рамках седьмого Международного </w:t>
      </w:r>
      <w:r w:rsidR="009C5803">
        <w:rPr>
          <w:sz w:val="24"/>
          <w:szCs w:val="24"/>
          <w:lang w:val="en-US"/>
        </w:rPr>
        <w:t>IT</w:t>
      </w:r>
      <w:r w:rsidR="009C5803">
        <w:rPr>
          <w:sz w:val="24"/>
          <w:szCs w:val="24"/>
        </w:rPr>
        <w:t>-Форума с участием стран БРИКС и Шанхайской организации сотрудничества в 2015 году (извещение, документация прилагаются).</w:t>
      </w:r>
      <w:proofErr w:type="gramEnd"/>
      <w:r w:rsidR="009C5803">
        <w:rPr>
          <w:sz w:val="24"/>
          <w:szCs w:val="24"/>
        </w:rPr>
        <w:t xml:space="preserve"> В целях увеличения эффективности закупочной деятельности в штатное расписание ООО «ЦКРТО» введена ставка юрисконсульта, который будет ответственным за формирование и размещение планов закупок, информации о закупках и иных документов.</w:t>
      </w:r>
    </w:p>
    <w:p w:rsidR="00EA504A" w:rsidRPr="001F59AC" w:rsidRDefault="007B7448" w:rsidP="006001BF">
      <w:pPr>
        <w:pStyle w:val="21"/>
        <w:numPr>
          <w:ilvl w:val="0"/>
          <w:numId w:val="1"/>
        </w:numPr>
        <w:shd w:val="clear" w:color="auto" w:fill="auto"/>
        <w:tabs>
          <w:tab w:val="left" w:pos="1038"/>
        </w:tabs>
        <w:spacing w:after="0"/>
        <w:ind w:left="40" w:right="20" w:firstLine="56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 xml:space="preserve">ОАО «Томск-Инвест», правопреемником которого является Центр, был заключен договор № 01/2011 от 01.01.2011 с ООО «Агентство консалтинговых услуг» (далее - ООО «АКУ»), предметом которого являлось оказание услуг по ведению бухгалтерского и налогового учета, в том числе по разработке учетной политики. </w:t>
      </w:r>
      <w:proofErr w:type="gramStart"/>
      <w:r w:rsidRPr="001F59AC">
        <w:rPr>
          <w:sz w:val="24"/>
          <w:szCs w:val="24"/>
        </w:rPr>
        <w:t xml:space="preserve">В связи с выявленными нарушениями Федерального закона № 402-ФЗ от 06.12.2011 «О бухгалтерском учете», Положения по ведению бухгалтерского учета и бухгалтерской отчетности в Российской Федерации, Инструкции по применению Плана счетов бухгалтерского учета финансово-хозяйственной деятельности организаций Центр </w:t>
      </w:r>
      <w:r w:rsidR="006001BF">
        <w:rPr>
          <w:sz w:val="24"/>
          <w:szCs w:val="24"/>
        </w:rPr>
        <w:t>провел</w:t>
      </w:r>
      <w:r w:rsidRPr="001F59AC">
        <w:rPr>
          <w:sz w:val="24"/>
          <w:szCs w:val="24"/>
        </w:rPr>
        <w:t xml:space="preserve"> претензионные процедуры в отношении ООО «АКУ», а также в отношении ООО «</w:t>
      </w:r>
      <w:proofErr w:type="spellStart"/>
      <w:r w:rsidRPr="001F59AC">
        <w:rPr>
          <w:sz w:val="24"/>
          <w:szCs w:val="24"/>
        </w:rPr>
        <w:t>Томаудит</w:t>
      </w:r>
      <w:proofErr w:type="spellEnd"/>
      <w:r w:rsidRPr="001F59AC">
        <w:rPr>
          <w:sz w:val="24"/>
          <w:szCs w:val="24"/>
        </w:rPr>
        <w:t>» - аудиторской компании, проверявшей качество ведения бухгалтерского и налогового учета Центром в 2013</w:t>
      </w:r>
      <w:proofErr w:type="gramEnd"/>
      <w:r w:rsidRPr="001F59AC">
        <w:rPr>
          <w:sz w:val="24"/>
          <w:szCs w:val="24"/>
        </w:rPr>
        <w:t xml:space="preserve"> году и не </w:t>
      </w:r>
      <w:proofErr w:type="gramStart"/>
      <w:r w:rsidRPr="001F59AC">
        <w:rPr>
          <w:sz w:val="24"/>
          <w:szCs w:val="24"/>
        </w:rPr>
        <w:t>выявившей</w:t>
      </w:r>
      <w:proofErr w:type="gramEnd"/>
      <w:r w:rsidRPr="001F59AC">
        <w:rPr>
          <w:sz w:val="24"/>
          <w:szCs w:val="24"/>
        </w:rPr>
        <w:t xml:space="preserve"> данные нарушения. </w:t>
      </w:r>
      <w:r w:rsidR="006001BF">
        <w:rPr>
          <w:sz w:val="24"/>
          <w:szCs w:val="24"/>
        </w:rPr>
        <w:t>В целях устранения нарушений, выявленных в ведении бухгалтерского и налогового учет</w:t>
      </w:r>
      <w:proofErr w:type="gramStart"/>
      <w:r w:rsidR="006001BF">
        <w:rPr>
          <w:sz w:val="24"/>
          <w:szCs w:val="24"/>
        </w:rPr>
        <w:t>а ООО</w:t>
      </w:r>
      <w:proofErr w:type="gramEnd"/>
      <w:r w:rsidR="006001BF">
        <w:rPr>
          <w:sz w:val="24"/>
          <w:szCs w:val="24"/>
        </w:rPr>
        <w:t xml:space="preserve"> «ЦКРТО» 08.05.2015 подписан Акт о ненадлежащем образом оказанных услугах по договору об оказании услуг №01/2011 от 01.01.2011 с ООО «АКУ» (прилагается). </w:t>
      </w:r>
    </w:p>
    <w:p w:rsidR="006001BF" w:rsidRPr="001F59AC" w:rsidRDefault="007B7448" w:rsidP="006001BF">
      <w:pPr>
        <w:pStyle w:val="21"/>
        <w:numPr>
          <w:ilvl w:val="0"/>
          <w:numId w:val="1"/>
        </w:numPr>
        <w:shd w:val="clear" w:color="auto" w:fill="auto"/>
        <w:tabs>
          <w:tab w:val="left" w:pos="1029"/>
        </w:tabs>
        <w:spacing w:after="0"/>
        <w:ind w:right="20" w:firstLine="567"/>
        <w:jc w:val="both"/>
        <w:rPr>
          <w:sz w:val="24"/>
          <w:szCs w:val="24"/>
        </w:rPr>
      </w:pPr>
      <w:r w:rsidRPr="006001BF">
        <w:rPr>
          <w:sz w:val="24"/>
          <w:szCs w:val="24"/>
        </w:rPr>
        <w:t xml:space="preserve">В целях организации качественного ведения </w:t>
      </w:r>
      <w:r w:rsidR="006001BF" w:rsidRPr="006001BF">
        <w:rPr>
          <w:sz w:val="24"/>
          <w:szCs w:val="24"/>
        </w:rPr>
        <w:t xml:space="preserve">ООО «ЦКРТО» </w:t>
      </w:r>
      <w:r w:rsidRPr="006001BF">
        <w:rPr>
          <w:sz w:val="24"/>
          <w:szCs w:val="24"/>
        </w:rPr>
        <w:t xml:space="preserve"> бухгалтерского учета и бухгалтерской отчетности в соответствии с действующим законодательством РФ </w:t>
      </w:r>
      <w:r w:rsidR="006001BF">
        <w:rPr>
          <w:sz w:val="24"/>
          <w:szCs w:val="24"/>
        </w:rPr>
        <w:t>в</w:t>
      </w:r>
      <w:r w:rsidRPr="006001BF">
        <w:rPr>
          <w:sz w:val="24"/>
          <w:szCs w:val="24"/>
        </w:rPr>
        <w:t xml:space="preserve"> штат</w:t>
      </w:r>
      <w:r w:rsidR="006001BF">
        <w:rPr>
          <w:sz w:val="24"/>
          <w:szCs w:val="24"/>
        </w:rPr>
        <w:t xml:space="preserve">ное расписание </w:t>
      </w:r>
      <w:r w:rsidRPr="006001BF">
        <w:rPr>
          <w:sz w:val="24"/>
          <w:szCs w:val="24"/>
        </w:rPr>
        <w:t xml:space="preserve"> </w:t>
      </w:r>
      <w:r w:rsidR="006001BF" w:rsidRPr="006001BF">
        <w:rPr>
          <w:sz w:val="24"/>
          <w:szCs w:val="24"/>
        </w:rPr>
        <w:t>ООО «ЦКРТО»</w:t>
      </w:r>
      <w:r w:rsidR="006001BF">
        <w:rPr>
          <w:sz w:val="24"/>
          <w:szCs w:val="24"/>
        </w:rPr>
        <w:t xml:space="preserve"> введена ставка </w:t>
      </w:r>
      <w:r w:rsidRPr="006001BF">
        <w:rPr>
          <w:sz w:val="24"/>
          <w:szCs w:val="24"/>
        </w:rPr>
        <w:t xml:space="preserve"> главн</w:t>
      </w:r>
      <w:r w:rsidR="006001BF">
        <w:rPr>
          <w:sz w:val="24"/>
          <w:szCs w:val="24"/>
        </w:rPr>
        <w:t>ого</w:t>
      </w:r>
      <w:r w:rsidRPr="006001BF">
        <w:rPr>
          <w:sz w:val="24"/>
          <w:szCs w:val="24"/>
        </w:rPr>
        <w:t xml:space="preserve"> бухгалтер</w:t>
      </w:r>
      <w:r w:rsidR="006001BF">
        <w:rPr>
          <w:sz w:val="24"/>
          <w:szCs w:val="24"/>
        </w:rPr>
        <w:t>а-экономиста. В настоящее время проводятся собеседования с возможными кандидатами на указанную должность. В силу того, что подходящие кандидаты отсутствуют, на период с 02.06.2015 по 26.06.2015 заключен договор оказания консультационных услуг по бухгалтерскому и налоговому учету с Карнауховой Татьяной Леонидовной.</w:t>
      </w:r>
    </w:p>
    <w:p w:rsidR="00EA504A" w:rsidRPr="001F59AC" w:rsidRDefault="007B7448" w:rsidP="006001BF">
      <w:pPr>
        <w:pStyle w:val="21"/>
        <w:numPr>
          <w:ilvl w:val="0"/>
          <w:numId w:val="1"/>
        </w:numPr>
        <w:shd w:val="clear" w:color="auto" w:fill="auto"/>
        <w:tabs>
          <w:tab w:val="left" w:pos="1029"/>
        </w:tabs>
        <w:spacing w:after="0" w:line="269" w:lineRule="exact"/>
        <w:ind w:left="40" w:right="20" w:firstLine="56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 xml:space="preserve">Нарушение п. 19 Положения по бухгалтерскому учету «Расходы организации» ПБУ 10/99, утвержденного приказом Минфина РФ от 06.05.1999 № </w:t>
      </w:r>
      <w:proofErr w:type="spellStart"/>
      <w:r w:rsidRPr="001F59AC">
        <w:rPr>
          <w:sz w:val="24"/>
          <w:szCs w:val="24"/>
        </w:rPr>
        <w:t>ЗЗн</w:t>
      </w:r>
      <w:proofErr w:type="spellEnd"/>
      <w:r w:rsidRPr="001F59AC">
        <w:rPr>
          <w:sz w:val="24"/>
          <w:szCs w:val="24"/>
        </w:rPr>
        <w:t>, будет устранено в ходе проведения претензионных процедур в отношен</w:t>
      </w:r>
      <w:proofErr w:type="gramStart"/>
      <w:r w:rsidRPr="001F59AC">
        <w:rPr>
          <w:sz w:val="24"/>
          <w:szCs w:val="24"/>
        </w:rPr>
        <w:t>ии ООО</w:t>
      </w:r>
      <w:proofErr w:type="gramEnd"/>
      <w:r w:rsidRPr="001F59AC">
        <w:rPr>
          <w:sz w:val="24"/>
          <w:szCs w:val="24"/>
        </w:rPr>
        <w:t xml:space="preserve"> «АКУ» </w:t>
      </w:r>
      <w:r w:rsidRPr="001F59AC">
        <w:rPr>
          <w:rStyle w:val="0pt"/>
          <w:sz w:val="24"/>
          <w:szCs w:val="24"/>
        </w:rPr>
        <w:t>в срок до 15.06.2015.</w:t>
      </w:r>
    </w:p>
    <w:p w:rsidR="00EA504A" w:rsidRPr="001F59AC" w:rsidRDefault="007B7448" w:rsidP="006001BF">
      <w:pPr>
        <w:pStyle w:val="21"/>
        <w:numPr>
          <w:ilvl w:val="0"/>
          <w:numId w:val="1"/>
        </w:numPr>
        <w:shd w:val="clear" w:color="auto" w:fill="auto"/>
        <w:tabs>
          <w:tab w:val="left" w:pos="1034"/>
        </w:tabs>
        <w:spacing w:after="0" w:line="269" w:lineRule="exact"/>
        <w:ind w:left="40" w:right="20" w:firstLine="56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 xml:space="preserve">Акт сдачи-приемки первого этапа услуг к договору № СМИ/06-2015 от 15.12.2014 с ООО «Агентство </w:t>
      </w:r>
      <w:proofErr w:type="spellStart"/>
      <w:r w:rsidRPr="001F59AC">
        <w:rPr>
          <w:sz w:val="24"/>
          <w:szCs w:val="24"/>
        </w:rPr>
        <w:t>медиарешений</w:t>
      </w:r>
      <w:proofErr w:type="spellEnd"/>
      <w:r w:rsidRPr="001F59AC">
        <w:rPr>
          <w:sz w:val="24"/>
          <w:szCs w:val="24"/>
        </w:rPr>
        <w:t>» скорректирован в части включения обязательных реквизитов (содержание факта хозяйственной жизни, его денежное измерение) (копия Акта от 27.12.2014 прилагается).</w:t>
      </w:r>
    </w:p>
    <w:p w:rsidR="00EA504A" w:rsidRPr="001F59AC" w:rsidRDefault="007B7448" w:rsidP="00334865">
      <w:pPr>
        <w:pStyle w:val="21"/>
        <w:numPr>
          <w:ilvl w:val="0"/>
          <w:numId w:val="1"/>
        </w:numPr>
        <w:shd w:val="clear" w:color="auto" w:fill="auto"/>
        <w:tabs>
          <w:tab w:val="left" w:pos="1039"/>
        </w:tabs>
        <w:spacing w:after="0"/>
        <w:ind w:left="60" w:right="20" w:firstLine="56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 xml:space="preserve">Данные регистров бухгалтерского учета за 2012-2014 годы будут приведены </w:t>
      </w:r>
      <w:proofErr w:type="gramStart"/>
      <w:r w:rsidRPr="001F59AC">
        <w:rPr>
          <w:sz w:val="24"/>
          <w:szCs w:val="24"/>
        </w:rPr>
        <w:t>в соответствие с целью подтверждения сведений о произведенных расходах в рамках проведения претензионных процедур в отношении</w:t>
      </w:r>
      <w:proofErr w:type="gramEnd"/>
      <w:r w:rsidRPr="001F59AC">
        <w:rPr>
          <w:sz w:val="24"/>
          <w:szCs w:val="24"/>
        </w:rPr>
        <w:t xml:space="preserve"> ООО «АКУ» в срок до 15.06.2015.</w:t>
      </w:r>
    </w:p>
    <w:p w:rsidR="00EA504A" w:rsidRPr="001F59AC" w:rsidRDefault="007B7448" w:rsidP="00334865">
      <w:pPr>
        <w:pStyle w:val="21"/>
        <w:shd w:val="clear" w:color="auto" w:fill="auto"/>
        <w:spacing w:after="0"/>
        <w:ind w:left="60" w:firstLine="56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 xml:space="preserve">Для устранения замечаний по Отчету о реализации Плана работ в рамках соглашения </w:t>
      </w:r>
      <w:proofErr w:type="gramStart"/>
      <w:r w:rsidRPr="001F59AC">
        <w:rPr>
          <w:sz w:val="24"/>
          <w:szCs w:val="24"/>
        </w:rPr>
        <w:t>от</w:t>
      </w:r>
      <w:proofErr w:type="gramEnd"/>
    </w:p>
    <w:p w:rsidR="00EA504A" w:rsidRPr="001F59AC" w:rsidRDefault="007B7448" w:rsidP="00334865">
      <w:pPr>
        <w:pStyle w:val="21"/>
        <w:numPr>
          <w:ilvl w:val="0"/>
          <w:numId w:val="10"/>
        </w:numPr>
        <w:shd w:val="clear" w:color="auto" w:fill="auto"/>
        <w:tabs>
          <w:tab w:val="left" w:pos="1183"/>
        </w:tabs>
        <w:spacing w:after="0"/>
        <w:ind w:left="60" w:firstLine="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>№ 452 в Департамент Центром представлена дополнительная информация:</w:t>
      </w:r>
    </w:p>
    <w:p w:rsidR="00EA504A" w:rsidRPr="001F59AC" w:rsidRDefault="007B7448" w:rsidP="00334865">
      <w:pPr>
        <w:pStyle w:val="21"/>
        <w:numPr>
          <w:ilvl w:val="0"/>
          <w:numId w:val="7"/>
        </w:numPr>
        <w:shd w:val="clear" w:color="auto" w:fill="auto"/>
        <w:tabs>
          <w:tab w:val="left" w:pos="903"/>
        </w:tabs>
        <w:spacing w:after="0" w:line="269" w:lineRule="exact"/>
        <w:ind w:left="900" w:right="20" w:hanging="280"/>
        <w:jc w:val="both"/>
        <w:rPr>
          <w:sz w:val="24"/>
          <w:szCs w:val="24"/>
        </w:rPr>
      </w:pPr>
      <w:proofErr w:type="gramStart"/>
      <w:r w:rsidRPr="001F59AC">
        <w:rPr>
          <w:sz w:val="24"/>
          <w:szCs w:val="24"/>
        </w:rPr>
        <w:t xml:space="preserve">целью раскрытия информации о том, каким образом была продвинута продукция организаций-участников Кластера, Центром представлены письма от ООО «Диагностика+» (№ 61 от 10.04.2015), ООО «НПК </w:t>
      </w:r>
      <w:proofErr w:type="spellStart"/>
      <w:r w:rsidRPr="001F59AC">
        <w:rPr>
          <w:sz w:val="24"/>
          <w:szCs w:val="24"/>
        </w:rPr>
        <w:t>Синтел</w:t>
      </w:r>
      <w:proofErr w:type="spellEnd"/>
      <w:r w:rsidRPr="001F59AC">
        <w:rPr>
          <w:sz w:val="24"/>
          <w:szCs w:val="24"/>
        </w:rPr>
        <w:t>» (№ 08/2015 от 09.04.2015), Томского сельскохозяйственного института-филиала ФГБОУ «НГАУ» (№ 143 от 10.04.2015), раскрывающие направления развития их проектов по итогу оказанных Центром услуг и содержащие информацию о продвижении их продукции на рынок;</w:t>
      </w:r>
      <w:proofErr w:type="gramEnd"/>
    </w:p>
    <w:p w:rsidR="00EA504A" w:rsidRPr="001F59AC" w:rsidRDefault="007B7448" w:rsidP="00334865">
      <w:pPr>
        <w:pStyle w:val="21"/>
        <w:numPr>
          <w:ilvl w:val="0"/>
          <w:numId w:val="7"/>
        </w:numPr>
        <w:shd w:val="clear" w:color="auto" w:fill="auto"/>
        <w:tabs>
          <w:tab w:val="left" w:pos="903"/>
        </w:tabs>
        <w:spacing w:after="0" w:line="269" w:lineRule="exact"/>
        <w:ind w:left="900" w:right="20" w:hanging="28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>с целью подтверждения заявленного в отчете значения показателя по количеству прошедших обучение представителей компаний-участников Кластера Центром предоставлены письма от ЗАО «</w:t>
      </w:r>
      <w:proofErr w:type="spellStart"/>
      <w:r w:rsidRPr="001F59AC">
        <w:rPr>
          <w:sz w:val="24"/>
          <w:szCs w:val="24"/>
        </w:rPr>
        <w:t>Элекард</w:t>
      </w:r>
      <w:proofErr w:type="spellEnd"/>
      <w:r w:rsidRPr="001F59AC">
        <w:rPr>
          <w:sz w:val="24"/>
          <w:szCs w:val="24"/>
        </w:rPr>
        <w:t xml:space="preserve"> </w:t>
      </w:r>
      <w:proofErr w:type="spellStart"/>
      <w:r w:rsidRPr="001F59AC">
        <w:rPr>
          <w:sz w:val="24"/>
          <w:szCs w:val="24"/>
        </w:rPr>
        <w:t>Девайсез</w:t>
      </w:r>
      <w:proofErr w:type="spellEnd"/>
      <w:r w:rsidRPr="001F59AC">
        <w:rPr>
          <w:sz w:val="24"/>
          <w:szCs w:val="24"/>
        </w:rPr>
        <w:t>» (№ 19/15 от 10.04.2015 прилагается), ООО «</w:t>
      </w:r>
      <w:proofErr w:type="spellStart"/>
      <w:r w:rsidRPr="001F59AC">
        <w:rPr>
          <w:sz w:val="24"/>
          <w:szCs w:val="24"/>
        </w:rPr>
        <w:t>Интэк</w:t>
      </w:r>
      <w:proofErr w:type="spellEnd"/>
      <w:r w:rsidRPr="001F59AC">
        <w:rPr>
          <w:sz w:val="24"/>
          <w:szCs w:val="24"/>
        </w:rPr>
        <w:t xml:space="preserve">» (№ 004 от 20.04.2015 прилагается), подтверждающие участие их сотрудников </w:t>
      </w:r>
      <w:proofErr w:type="spellStart"/>
      <w:r w:rsidRPr="001F59AC">
        <w:rPr>
          <w:sz w:val="24"/>
          <w:szCs w:val="24"/>
        </w:rPr>
        <w:t>Выпулина</w:t>
      </w:r>
      <w:proofErr w:type="spellEnd"/>
      <w:r w:rsidRPr="001F59AC">
        <w:rPr>
          <w:sz w:val="24"/>
          <w:szCs w:val="24"/>
        </w:rPr>
        <w:t xml:space="preserve"> Игоря Павловича (ошибочно внесенного в ведомость слушателей семинара как представителя НП «Кластер </w:t>
      </w:r>
      <w:proofErr w:type="gramStart"/>
      <w:r w:rsidRPr="001F59AC">
        <w:rPr>
          <w:sz w:val="24"/>
          <w:szCs w:val="24"/>
        </w:rPr>
        <w:t>ИТ</w:t>
      </w:r>
      <w:proofErr w:type="gramEnd"/>
      <w:r w:rsidRPr="001F59AC">
        <w:rPr>
          <w:sz w:val="24"/>
          <w:szCs w:val="24"/>
        </w:rPr>
        <w:t xml:space="preserve"> Томской области») и </w:t>
      </w:r>
      <w:proofErr w:type="spellStart"/>
      <w:r w:rsidRPr="001F59AC">
        <w:rPr>
          <w:sz w:val="24"/>
          <w:szCs w:val="24"/>
        </w:rPr>
        <w:t>Грехова</w:t>
      </w:r>
      <w:proofErr w:type="spellEnd"/>
      <w:r w:rsidRPr="001F59AC">
        <w:rPr>
          <w:sz w:val="24"/>
          <w:szCs w:val="24"/>
        </w:rPr>
        <w:t xml:space="preserve"> Ивана Сергеевича (внесенного в ведомость слушателей семинара как представителя организац</w:t>
      </w:r>
      <w:proofErr w:type="gramStart"/>
      <w:r w:rsidRPr="001F59AC">
        <w:rPr>
          <w:sz w:val="24"/>
          <w:szCs w:val="24"/>
        </w:rPr>
        <w:t>ии ООО</w:t>
      </w:r>
      <w:proofErr w:type="gramEnd"/>
      <w:r w:rsidRPr="001F59AC">
        <w:rPr>
          <w:sz w:val="24"/>
          <w:szCs w:val="24"/>
        </w:rPr>
        <w:t xml:space="preserve"> «</w:t>
      </w:r>
      <w:r w:rsidRPr="001F59AC">
        <w:rPr>
          <w:sz w:val="24"/>
          <w:szCs w:val="24"/>
          <w:lang w:val="en-US"/>
        </w:rPr>
        <w:t>INTEC</w:t>
      </w:r>
      <w:r w:rsidRPr="001F59AC">
        <w:rPr>
          <w:sz w:val="24"/>
          <w:szCs w:val="24"/>
        </w:rPr>
        <w:t>», имеющей также наименования, согласно Уставу, ООО «ИНТЭК» и «</w:t>
      </w:r>
      <w:r w:rsidRPr="001F59AC">
        <w:rPr>
          <w:sz w:val="24"/>
          <w:szCs w:val="24"/>
          <w:lang w:val="en-US"/>
        </w:rPr>
        <w:t>INTEC</w:t>
      </w:r>
      <w:r w:rsidRPr="001F59AC">
        <w:rPr>
          <w:sz w:val="24"/>
          <w:szCs w:val="24"/>
        </w:rPr>
        <w:t xml:space="preserve"> </w:t>
      </w:r>
      <w:r w:rsidRPr="001F59AC">
        <w:rPr>
          <w:sz w:val="24"/>
          <w:szCs w:val="24"/>
          <w:lang w:val="en-US"/>
        </w:rPr>
        <w:t>Company</w:t>
      </w:r>
      <w:r w:rsidRPr="001F59AC">
        <w:rPr>
          <w:sz w:val="24"/>
          <w:szCs w:val="24"/>
        </w:rPr>
        <w:t xml:space="preserve"> </w:t>
      </w:r>
      <w:r w:rsidRPr="001F59AC">
        <w:rPr>
          <w:sz w:val="24"/>
          <w:szCs w:val="24"/>
          <w:lang w:val="en-US"/>
        </w:rPr>
        <w:t>ltd</w:t>
      </w:r>
      <w:r w:rsidRPr="001F59AC">
        <w:rPr>
          <w:sz w:val="24"/>
          <w:szCs w:val="24"/>
        </w:rPr>
        <w:t>.») в семинаре «Практикум управления проектами. Ключевые документы, инструменты, решения» (24 - 28 февраля 2014 года). Фактически в рамках семинара было обучено 40 представителей организаций-участников Кластера;</w:t>
      </w:r>
    </w:p>
    <w:p w:rsidR="00EA504A" w:rsidRPr="001F59AC" w:rsidRDefault="007B7448" w:rsidP="00334865">
      <w:pPr>
        <w:pStyle w:val="21"/>
        <w:numPr>
          <w:ilvl w:val="0"/>
          <w:numId w:val="7"/>
        </w:numPr>
        <w:shd w:val="clear" w:color="auto" w:fill="auto"/>
        <w:tabs>
          <w:tab w:val="left" w:pos="903"/>
        </w:tabs>
        <w:spacing w:after="0" w:line="269" w:lineRule="exact"/>
        <w:ind w:left="900" w:right="20" w:hanging="28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 xml:space="preserve">с целью устранения недостоверных сведений руководителем Центра была признана и устранена техническая ошибка относительно указания в Отчете о реализации Плана работ 9 представителей организаций-участников Кластера </w:t>
      </w:r>
      <w:proofErr w:type="gramStart"/>
      <w:r w:rsidRPr="001F59AC">
        <w:rPr>
          <w:sz w:val="24"/>
          <w:szCs w:val="24"/>
        </w:rPr>
        <w:t>вместо</w:t>
      </w:r>
      <w:proofErr w:type="gramEnd"/>
      <w:r w:rsidRPr="001F59AC">
        <w:rPr>
          <w:sz w:val="24"/>
          <w:szCs w:val="24"/>
        </w:rPr>
        <w:t xml:space="preserve"> фактически обученных 17. Соглашением установлено, что результатом реализации мероприятия «Профессиональная переподготовка, повышение квалификации и проведение стажировок...» должно стать увеличение числа квалифицированных специалистов в области управления инновационной деятельностью как минимум на 4 человека. Считаем профинансированное мероприятие Плана работ выполненным в полном объеме (подтверждающие документы прилагаются);</w:t>
      </w:r>
    </w:p>
    <w:p w:rsidR="00EA504A" w:rsidRPr="001F59AC" w:rsidRDefault="007B7448" w:rsidP="00334865">
      <w:pPr>
        <w:pStyle w:val="21"/>
        <w:numPr>
          <w:ilvl w:val="0"/>
          <w:numId w:val="7"/>
        </w:numPr>
        <w:shd w:val="clear" w:color="auto" w:fill="auto"/>
        <w:tabs>
          <w:tab w:val="left" w:pos="908"/>
        </w:tabs>
        <w:spacing w:after="0" w:line="269" w:lineRule="exact"/>
        <w:ind w:left="900" w:right="20" w:hanging="280"/>
        <w:jc w:val="both"/>
        <w:rPr>
          <w:sz w:val="24"/>
          <w:szCs w:val="24"/>
        </w:rPr>
      </w:pPr>
      <w:proofErr w:type="gramStart"/>
      <w:r w:rsidRPr="001F59AC">
        <w:rPr>
          <w:sz w:val="24"/>
          <w:szCs w:val="24"/>
        </w:rPr>
        <w:t>с целью устранения замечания по представлению в Отчете о реализации Плана работ несопоставимого показателя Департаментом были даны разъяснения Центру о том, какой именно показатель необходимо было предоставить для оценки результативности реализации мероприятия Плана работ «Организация деятельности по сопровождению и консультированию участников кластера по осуществлению государственных закупок, подготовки заявок по тендерам, торгам для участия в них средних и малых предприятий-участников кластера</w:t>
      </w:r>
      <w:proofErr w:type="gramEnd"/>
      <w:r w:rsidRPr="001F59AC">
        <w:rPr>
          <w:sz w:val="24"/>
          <w:szCs w:val="24"/>
        </w:rPr>
        <w:t>». По уточненной информации поддержку Центра получили 46 компаний-участников Кластера, что значительно превосходит плановый показатель (подтверждающие документы прилагаются).</w:t>
      </w:r>
    </w:p>
    <w:p w:rsidR="00EA504A" w:rsidRPr="001F59AC" w:rsidRDefault="007B7448" w:rsidP="00334865">
      <w:pPr>
        <w:pStyle w:val="21"/>
        <w:shd w:val="clear" w:color="auto" w:fill="auto"/>
        <w:spacing w:after="0" w:line="269" w:lineRule="exact"/>
        <w:ind w:left="60" w:right="20" w:firstLine="56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>Скорректированный Отчет о реализации плана работ по соглашению от 26.12.2013 № 452 представлен в Департамент 20.04.2015 и находится на рассмотрении.</w:t>
      </w:r>
    </w:p>
    <w:p w:rsidR="00EA504A" w:rsidRPr="001F59AC" w:rsidRDefault="007B7448" w:rsidP="00334865">
      <w:pPr>
        <w:pStyle w:val="21"/>
        <w:numPr>
          <w:ilvl w:val="0"/>
          <w:numId w:val="1"/>
        </w:numPr>
        <w:shd w:val="clear" w:color="auto" w:fill="auto"/>
        <w:tabs>
          <w:tab w:val="left" w:pos="1054"/>
        </w:tabs>
        <w:spacing w:after="0" w:line="269" w:lineRule="exact"/>
        <w:ind w:left="60" w:right="20" w:firstLine="56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 xml:space="preserve">В дальнейшем заключаемые Центром договоры/соглашения о предоставлении субсидий из областного бюджета, в том числе за счет средств федерального бюджета, будут предусматривать последствия </w:t>
      </w:r>
      <w:proofErr w:type="spellStart"/>
      <w:r w:rsidRPr="001F59AC">
        <w:rPr>
          <w:sz w:val="24"/>
          <w:szCs w:val="24"/>
        </w:rPr>
        <w:t>недостижения</w:t>
      </w:r>
      <w:proofErr w:type="spellEnd"/>
      <w:r w:rsidRPr="001F59AC">
        <w:rPr>
          <w:sz w:val="24"/>
          <w:szCs w:val="24"/>
        </w:rPr>
        <w:t xml:space="preserve"> получателем </w:t>
      </w:r>
      <w:proofErr w:type="gramStart"/>
      <w:r w:rsidRPr="001F59AC">
        <w:rPr>
          <w:sz w:val="24"/>
          <w:szCs w:val="24"/>
        </w:rPr>
        <w:t>субсидии установленных значений показателей результативности предоставления субсидии</w:t>
      </w:r>
      <w:proofErr w:type="gramEnd"/>
      <w:r w:rsidRPr="001F59AC">
        <w:rPr>
          <w:sz w:val="24"/>
          <w:szCs w:val="24"/>
        </w:rPr>
        <w:t>. В свою очередь, договоры,</w:t>
      </w:r>
      <w:r w:rsidR="00334865">
        <w:rPr>
          <w:sz w:val="24"/>
          <w:szCs w:val="24"/>
        </w:rPr>
        <w:t xml:space="preserve"> заключаемые </w:t>
      </w:r>
      <w:r w:rsidR="00334865" w:rsidRPr="001F59AC">
        <w:rPr>
          <w:sz w:val="24"/>
          <w:szCs w:val="24"/>
        </w:rPr>
        <w:t>Центром с исполнителями работ, будут содержать</w:t>
      </w:r>
      <w:r w:rsidR="00334865">
        <w:rPr>
          <w:sz w:val="24"/>
          <w:szCs w:val="24"/>
        </w:rPr>
        <w:t xml:space="preserve"> конкретную </w:t>
      </w:r>
    </w:p>
    <w:p w:rsidR="00EA504A" w:rsidRPr="001F59AC" w:rsidRDefault="00EA504A">
      <w:pPr>
        <w:pStyle w:val="a6"/>
        <w:framePr w:wrap="none" w:vAnchor="page" w:hAnchor="page" w:x="6102" w:y="16186"/>
        <w:shd w:val="clear" w:color="auto" w:fill="auto"/>
        <w:spacing w:line="170" w:lineRule="exact"/>
        <w:ind w:left="20"/>
        <w:rPr>
          <w:sz w:val="24"/>
          <w:szCs w:val="24"/>
        </w:rPr>
      </w:pPr>
    </w:p>
    <w:p w:rsidR="00EA504A" w:rsidRPr="001F59AC" w:rsidRDefault="007B7448" w:rsidP="00334865">
      <w:pPr>
        <w:pStyle w:val="21"/>
        <w:shd w:val="clear" w:color="auto" w:fill="auto"/>
        <w:spacing w:after="0"/>
        <w:ind w:left="60" w:right="20" w:firstLine="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 xml:space="preserve">ответственность исполнителя за невыполнение предусмотренных работ и </w:t>
      </w:r>
      <w:proofErr w:type="spellStart"/>
      <w:r w:rsidRPr="001F59AC">
        <w:rPr>
          <w:sz w:val="24"/>
          <w:szCs w:val="24"/>
        </w:rPr>
        <w:t>недостижение</w:t>
      </w:r>
      <w:proofErr w:type="spellEnd"/>
      <w:r w:rsidRPr="001F59AC">
        <w:rPr>
          <w:sz w:val="24"/>
          <w:szCs w:val="24"/>
        </w:rPr>
        <w:t xml:space="preserve"> установленных показателей. Соглашения и договоры о предоставлении субсидии, полученные Центром в 2014 году на реализацию мероприятий в 2015 году, будут скорректированы в соответствии с указанными положениями путем заключения дополнительных соглашений в срок до </w:t>
      </w:r>
      <w:r w:rsidRPr="001F59AC">
        <w:rPr>
          <w:rStyle w:val="0pt"/>
          <w:sz w:val="24"/>
          <w:szCs w:val="24"/>
        </w:rPr>
        <w:t>08.05.2015.</w:t>
      </w:r>
    </w:p>
    <w:p w:rsidR="00EA504A" w:rsidRPr="001F59AC" w:rsidRDefault="007B7448" w:rsidP="00334865">
      <w:pPr>
        <w:pStyle w:val="21"/>
        <w:shd w:val="clear" w:color="auto" w:fill="auto"/>
        <w:spacing w:after="0"/>
        <w:ind w:left="60" w:right="20" w:firstLine="54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>В рамках договора о предоставлении субсидии №ЦКР/2012-01 от 24.08.2012 (Приложение №12) не оказаны услуги по изучению отечественного и зарубежного рынков для сбыта продукции/услуг высокотехнологичных производств и сформированных/новых кластеров, а также услуги по организации краткосрочных стажировок для изучения современного и отечественного опыта реализации кластерных инициатив. Данные услуги не были предоставлены вследствие отсутствия запроса со стороны компаний-участников территориальных кластеров, выявленные в ходе проведения периодического мониторинга потребностей организаций, входящих в состав кластеров, а также отсутствия средств на эти цели.</w:t>
      </w:r>
    </w:p>
    <w:p w:rsidR="00EA504A" w:rsidRPr="001F59AC" w:rsidRDefault="007B7448" w:rsidP="00334865">
      <w:pPr>
        <w:pStyle w:val="21"/>
        <w:shd w:val="clear" w:color="auto" w:fill="auto"/>
        <w:spacing w:after="0"/>
        <w:ind w:left="60" w:right="20" w:firstLine="54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 xml:space="preserve">Также в 2013 году в связи с приходом на должность генерального директора </w:t>
      </w:r>
      <w:proofErr w:type="spellStart"/>
      <w:r w:rsidRPr="001F59AC">
        <w:rPr>
          <w:sz w:val="24"/>
          <w:szCs w:val="24"/>
        </w:rPr>
        <w:t>Таранова</w:t>
      </w:r>
      <w:proofErr w:type="spellEnd"/>
      <w:r w:rsidRPr="001F59AC">
        <w:rPr>
          <w:sz w:val="24"/>
          <w:szCs w:val="24"/>
        </w:rPr>
        <w:t xml:space="preserve"> Д.В. им был осуществлен анализ действующего Положения о ЦКР ТО и сделан вывод в отсутствии необходимости внесения изменений в данный документ, что являлось частью плана работ согласно договору №ЦКР/2012-01 от 24.08.2012.</w:t>
      </w:r>
    </w:p>
    <w:p w:rsidR="00EA504A" w:rsidRPr="001F59AC" w:rsidRDefault="007B7448" w:rsidP="00334865">
      <w:pPr>
        <w:pStyle w:val="21"/>
        <w:shd w:val="clear" w:color="auto" w:fill="auto"/>
        <w:spacing w:after="0"/>
        <w:ind w:left="60" w:right="20" w:firstLine="540"/>
        <w:jc w:val="both"/>
        <w:rPr>
          <w:sz w:val="24"/>
          <w:szCs w:val="24"/>
        </w:rPr>
      </w:pPr>
      <w:proofErr w:type="gramStart"/>
      <w:r w:rsidRPr="001F59AC">
        <w:rPr>
          <w:sz w:val="24"/>
          <w:szCs w:val="24"/>
        </w:rPr>
        <w:t>В августе 2013 года силами сотрудников ЦКР ТО для обеспечения деятельности организации была разработана Концепция "Организация деятельности Центра кластерного развития Томской о</w:t>
      </w:r>
      <w:r w:rsidR="00334865">
        <w:rPr>
          <w:sz w:val="24"/>
          <w:szCs w:val="24"/>
        </w:rPr>
        <w:t>бласти на период 2013-2016 гг."</w:t>
      </w:r>
      <w:r w:rsidRPr="001F59AC">
        <w:rPr>
          <w:sz w:val="24"/>
          <w:szCs w:val="24"/>
        </w:rPr>
        <w:t>. На основе данной Концепции предполагалось разработать дорожную карту и программу работы ЦКР ТО в 2013- 2016 гг., однако данная работа не была осуществлена в связи с отсутствием возможности привлечения в 2013 году федерального финансирования</w:t>
      </w:r>
      <w:proofErr w:type="gramEnd"/>
      <w:r w:rsidRPr="001F59AC">
        <w:rPr>
          <w:sz w:val="24"/>
          <w:szCs w:val="24"/>
        </w:rPr>
        <w:t xml:space="preserve"> по </w:t>
      </w:r>
      <w:proofErr w:type="gramStart"/>
      <w:r w:rsidRPr="001F59AC">
        <w:rPr>
          <w:sz w:val="24"/>
          <w:szCs w:val="24"/>
        </w:rPr>
        <w:t>конкурсному</w:t>
      </w:r>
      <w:proofErr w:type="gramEnd"/>
      <w:r w:rsidRPr="001F59AC">
        <w:rPr>
          <w:sz w:val="24"/>
          <w:szCs w:val="24"/>
        </w:rPr>
        <w:t xml:space="preserve">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где дорожная карта являлась бы частью заявительной документации. </w:t>
      </w:r>
      <w:proofErr w:type="gramStart"/>
      <w:r w:rsidRPr="001F59AC">
        <w:rPr>
          <w:sz w:val="24"/>
          <w:szCs w:val="24"/>
        </w:rPr>
        <w:t>В мае 2014 году данная Концепция была доработана на период 2014-2018 гг., в нее была включена дорожная карта обеспечения деятельности и реализации услуг Центра кластерного развития, разработан план финансово-хозяйственной деятельности организации, что позволило успешно пройти экспертизу заявки на Конкурс по предоставлению субсидии из федерального бюджета на государственную поддержку малого и среднего предпринимательства (экспертиза Концепции проводилась "Фондом содействия развитию малых форм</w:t>
      </w:r>
      <w:proofErr w:type="gramEnd"/>
      <w:r w:rsidRPr="001F59AC">
        <w:rPr>
          <w:sz w:val="24"/>
          <w:szCs w:val="24"/>
        </w:rPr>
        <w:t xml:space="preserve"> предприятий в научно-технической сфере") и привлечь федеральную субсидию в размере 8 750 тыс. рублей.</w:t>
      </w:r>
    </w:p>
    <w:p w:rsidR="00EA504A" w:rsidRPr="001F59AC" w:rsidRDefault="007B7448" w:rsidP="00334865">
      <w:pPr>
        <w:pStyle w:val="21"/>
        <w:shd w:val="clear" w:color="auto" w:fill="auto"/>
        <w:spacing w:after="0"/>
        <w:ind w:left="60" w:right="20" w:firstLine="54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>Относительно невыполнения в полном объеме мероприятия «Профессиональная переподготовка, повышение квалификации и проведение стажировок...» в рамках соглашения от 30.12.2014 № 468 сообщаем следующее.</w:t>
      </w:r>
    </w:p>
    <w:p w:rsidR="00EA504A" w:rsidRPr="001F59AC" w:rsidRDefault="007B7448" w:rsidP="00334865">
      <w:pPr>
        <w:pStyle w:val="21"/>
        <w:shd w:val="clear" w:color="auto" w:fill="auto"/>
        <w:spacing w:after="0"/>
        <w:ind w:left="60" w:right="20" w:firstLine="54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>По запросу Департамента по науке и инновационной политике Администрации Томской области Центром были предоставлены документы по данному мероприятию. В результате установлено, что мероприятие выполнено в полном объеме, все показатели достигнуты:</w:t>
      </w:r>
    </w:p>
    <w:p w:rsidR="00EA504A" w:rsidRPr="001F59AC" w:rsidRDefault="007B7448" w:rsidP="00334865">
      <w:pPr>
        <w:pStyle w:val="21"/>
        <w:numPr>
          <w:ilvl w:val="0"/>
          <w:numId w:val="7"/>
        </w:numPr>
        <w:shd w:val="clear" w:color="auto" w:fill="auto"/>
        <w:tabs>
          <w:tab w:val="left" w:pos="878"/>
        </w:tabs>
        <w:spacing w:after="0"/>
        <w:ind w:left="860" w:right="20" w:hanging="260"/>
        <w:jc w:val="both"/>
        <w:rPr>
          <w:sz w:val="24"/>
          <w:szCs w:val="24"/>
        </w:rPr>
      </w:pPr>
      <w:proofErr w:type="gramStart"/>
      <w:r w:rsidRPr="001F59AC">
        <w:rPr>
          <w:sz w:val="24"/>
          <w:szCs w:val="24"/>
        </w:rPr>
        <w:t>для участия в образовательной программе привлечено больше зарубежных специалистов, чем предусматривалось изначально - 10 против плановых 8 (учтены уточняющие данные, полученные по запросу в адрес организатора мероприятия);</w:t>
      </w:r>
      <w:proofErr w:type="gramEnd"/>
    </w:p>
    <w:p w:rsidR="00EA504A" w:rsidRPr="001F59AC" w:rsidRDefault="007B7448" w:rsidP="00334865">
      <w:pPr>
        <w:pStyle w:val="21"/>
        <w:numPr>
          <w:ilvl w:val="0"/>
          <w:numId w:val="7"/>
        </w:numPr>
        <w:shd w:val="clear" w:color="auto" w:fill="auto"/>
        <w:tabs>
          <w:tab w:val="left" w:pos="878"/>
        </w:tabs>
        <w:spacing w:after="0" w:line="264" w:lineRule="exact"/>
        <w:ind w:left="860" w:right="20" w:hanging="26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 xml:space="preserve">для участия в образовательных мероприятиях привлечено 37 менторов против плановых 30 (в число привлеченных менторов вошло 22 ментора для организации </w:t>
      </w:r>
      <w:proofErr w:type="gramStart"/>
      <w:r w:rsidRPr="001F59AC">
        <w:rPr>
          <w:sz w:val="24"/>
          <w:szCs w:val="24"/>
        </w:rPr>
        <w:t>бизнес-акселератора</w:t>
      </w:r>
      <w:proofErr w:type="gramEnd"/>
      <w:r w:rsidRPr="001F59AC">
        <w:rPr>
          <w:sz w:val="24"/>
          <w:szCs w:val="24"/>
        </w:rPr>
        <w:t xml:space="preserve"> «</w:t>
      </w:r>
      <w:r w:rsidRPr="001F59AC">
        <w:rPr>
          <w:sz w:val="24"/>
          <w:szCs w:val="24"/>
          <w:lang w:val="en-US"/>
        </w:rPr>
        <w:t>Darwin</w:t>
      </w:r>
      <w:r w:rsidRPr="001F59AC">
        <w:rPr>
          <w:sz w:val="24"/>
          <w:szCs w:val="24"/>
        </w:rPr>
        <w:t xml:space="preserve">» и 15 менторов для организации Акселерационной программы </w:t>
      </w:r>
      <w:r w:rsidRPr="001F59AC">
        <w:rPr>
          <w:sz w:val="24"/>
          <w:szCs w:val="24"/>
          <w:lang w:val="en-US"/>
        </w:rPr>
        <w:t>Future</w:t>
      </w:r>
      <w:r w:rsidRPr="001F59AC">
        <w:rPr>
          <w:sz w:val="24"/>
          <w:szCs w:val="24"/>
        </w:rPr>
        <w:t xml:space="preserve"> </w:t>
      </w:r>
      <w:r w:rsidRPr="001F59AC">
        <w:rPr>
          <w:sz w:val="24"/>
          <w:szCs w:val="24"/>
          <w:lang w:val="en-US"/>
        </w:rPr>
        <w:t>Technology</w:t>
      </w:r>
      <w:r w:rsidR="00334865">
        <w:rPr>
          <w:sz w:val="24"/>
          <w:szCs w:val="24"/>
        </w:rPr>
        <w:t>)</w:t>
      </w:r>
      <w:r w:rsidRPr="001F59AC">
        <w:rPr>
          <w:sz w:val="24"/>
          <w:szCs w:val="24"/>
        </w:rPr>
        <w:t>;</w:t>
      </w:r>
    </w:p>
    <w:p w:rsidR="00EA504A" w:rsidRPr="001F59AC" w:rsidRDefault="007B7448" w:rsidP="00334865">
      <w:pPr>
        <w:pStyle w:val="21"/>
        <w:numPr>
          <w:ilvl w:val="0"/>
          <w:numId w:val="7"/>
        </w:numPr>
        <w:shd w:val="clear" w:color="auto" w:fill="auto"/>
        <w:tabs>
          <w:tab w:val="left" w:pos="878"/>
        </w:tabs>
        <w:spacing w:after="0"/>
        <w:ind w:left="860" w:hanging="26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>для акселерационных образовательных программ подготовлено 55 проектов.</w:t>
      </w:r>
    </w:p>
    <w:p w:rsidR="00EA504A" w:rsidRPr="001F59AC" w:rsidRDefault="007B7448" w:rsidP="00334865">
      <w:pPr>
        <w:pStyle w:val="21"/>
        <w:shd w:val="clear" w:color="auto" w:fill="auto"/>
        <w:spacing w:after="0"/>
        <w:ind w:left="860" w:hanging="26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>Документы, подтверждающие достижение, и даже перевыполнение, показателей</w:t>
      </w:r>
    </w:p>
    <w:p w:rsidR="00D72654" w:rsidRPr="001F59AC" w:rsidRDefault="007B7448" w:rsidP="00D72654">
      <w:pPr>
        <w:pStyle w:val="21"/>
        <w:shd w:val="clear" w:color="auto" w:fill="auto"/>
        <w:spacing w:after="0"/>
        <w:ind w:left="60" w:right="20" w:firstLine="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>результативности мероприятия Плана работ в рамках акселерационных образовательных программ, предоставлены Центром в Департамент на основании уточняющих запросов в адрес</w:t>
      </w:r>
      <w:r w:rsidR="00D72654">
        <w:rPr>
          <w:sz w:val="24"/>
          <w:szCs w:val="24"/>
        </w:rPr>
        <w:t xml:space="preserve"> </w:t>
      </w:r>
      <w:r w:rsidR="00D72654" w:rsidRPr="001F59AC">
        <w:rPr>
          <w:sz w:val="24"/>
          <w:szCs w:val="24"/>
        </w:rPr>
        <w:t xml:space="preserve">организаторов указанных программ (данные документы прилагаются). В ранее предоставленной Контрольно-счетной палате информации не были учтены менторы, привлеченные на мероприятия за счет средств </w:t>
      </w:r>
      <w:proofErr w:type="spellStart"/>
      <w:r w:rsidR="00D72654" w:rsidRPr="001F59AC">
        <w:rPr>
          <w:sz w:val="24"/>
          <w:szCs w:val="24"/>
        </w:rPr>
        <w:t>соорганизаторов</w:t>
      </w:r>
      <w:proofErr w:type="spellEnd"/>
      <w:r w:rsidR="00D72654" w:rsidRPr="001F59AC">
        <w:rPr>
          <w:sz w:val="24"/>
          <w:szCs w:val="24"/>
        </w:rPr>
        <w:t>. Что касается подготовленных инвестиционных кооперационных кластерных проектов, то аудитором были учтены только отобранные для акселерационных программ проекты. Подготовлено же было 55.</w:t>
      </w:r>
    </w:p>
    <w:p w:rsidR="00D72654" w:rsidRPr="001F59AC" w:rsidRDefault="00D72654" w:rsidP="00D72654">
      <w:pPr>
        <w:pStyle w:val="21"/>
        <w:shd w:val="clear" w:color="auto" w:fill="auto"/>
        <w:spacing w:after="0"/>
        <w:ind w:left="20" w:right="20" w:firstLine="560"/>
        <w:jc w:val="both"/>
        <w:rPr>
          <w:sz w:val="24"/>
          <w:szCs w:val="24"/>
        </w:rPr>
      </w:pPr>
      <w:proofErr w:type="gramStart"/>
      <w:r w:rsidRPr="001F59AC">
        <w:rPr>
          <w:sz w:val="24"/>
          <w:szCs w:val="24"/>
        </w:rPr>
        <w:t>В рамках выполнения Плана работ и достижения плановых показателей по Договору от «05» ноября 2014 года № 2014-02-02 заключено Дополнительное соглашение от 31.03.2015 № 3 к Договору о предоставлении субсидии от «05» ноября 2014 года № 2014-02-02, причем максимальные пороговые значения по количеству проведенных мероприятий для достижения показателей результативности не обозначены и поэтому будут достигнуты в соответствии со сроками данного Дополнительного соглашения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Кроме того, заключено дополнительное соглашение № 4 от 29.05.2015 в части добавления последствий </w:t>
      </w:r>
      <w:proofErr w:type="spellStart"/>
      <w:r>
        <w:rPr>
          <w:sz w:val="24"/>
          <w:szCs w:val="24"/>
        </w:rPr>
        <w:t>недостижения</w:t>
      </w:r>
      <w:proofErr w:type="spellEnd"/>
      <w:r>
        <w:rPr>
          <w:sz w:val="24"/>
          <w:szCs w:val="24"/>
        </w:rPr>
        <w:t xml:space="preserve"> получателем </w:t>
      </w:r>
      <w:proofErr w:type="gramStart"/>
      <w:r>
        <w:rPr>
          <w:sz w:val="24"/>
          <w:szCs w:val="24"/>
        </w:rPr>
        <w:t>субсидии установленных значений показателей результативности предоставления субсидий</w:t>
      </w:r>
      <w:proofErr w:type="gramEnd"/>
      <w:r>
        <w:rPr>
          <w:sz w:val="24"/>
          <w:szCs w:val="24"/>
        </w:rPr>
        <w:t xml:space="preserve">.  </w:t>
      </w:r>
    </w:p>
    <w:p w:rsidR="00D72654" w:rsidRDefault="00D72654" w:rsidP="00D72654">
      <w:pPr>
        <w:pStyle w:val="21"/>
        <w:numPr>
          <w:ilvl w:val="0"/>
          <w:numId w:val="1"/>
        </w:numPr>
        <w:shd w:val="clear" w:color="auto" w:fill="auto"/>
        <w:tabs>
          <w:tab w:val="left" w:pos="1004"/>
        </w:tabs>
        <w:spacing w:after="0"/>
        <w:ind w:left="20" w:right="20" w:firstLine="560"/>
        <w:jc w:val="both"/>
        <w:rPr>
          <w:sz w:val="24"/>
          <w:szCs w:val="24"/>
        </w:rPr>
      </w:pPr>
      <w:r w:rsidRPr="001F59AC">
        <w:rPr>
          <w:sz w:val="24"/>
          <w:szCs w:val="24"/>
        </w:rPr>
        <w:t>На основании выявленных в ходе контрольного мероприятия нарушений в кадровом учете, оформлении правовой документации и в юридическом обеспечении Центра было принято расторгнуть трудовые отношения с исполнительным директором Телешевым Андреем Петровичем (копия приказа № 03-лс от 03.04.2015 прилагается).</w:t>
      </w:r>
    </w:p>
    <w:p w:rsidR="00D72654" w:rsidRPr="009E0CF3" w:rsidRDefault="00D72654" w:rsidP="00334865">
      <w:pPr>
        <w:pStyle w:val="21"/>
        <w:numPr>
          <w:ilvl w:val="0"/>
          <w:numId w:val="1"/>
        </w:numPr>
        <w:shd w:val="clear" w:color="auto" w:fill="auto"/>
        <w:tabs>
          <w:tab w:val="left" w:pos="1004"/>
        </w:tabs>
        <w:spacing w:after="0"/>
        <w:ind w:left="60" w:right="20" w:firstLine="0"/>
        <w:jc w:val="both"/>
        <w:rPr>
          <w:sz w:val="24"/>
          <w:szCs w:val="24"/>
        </w:rPr>
      </w:pPr>
      <w:r w:rsidRPr="009E0CF3">
        <w:rPr>
          <w:sz w:val="24"/>
          <w:szCs w:val="24"/>
        </w:rPr>
        <w:t xml:space="preserve">На основании выявленных в ходе контрольного мероприятия нарушений в </w:t>
      </w:r>
      <w:r w:rsidR="009E0CF3" w:rsidRPr="009E0CF3">
        <w:rPr>
          <w:sz w:val="24"/>
          <w:szCs w:val="24"/>
        </w:rPr>
        <w:t>деятельност</w:t>
      </w:r>
      <w:proofErr w:type="gramStart"/>
      <w:r w:rsidR="009E0CF3" w:rsidRPr="009E0CF3">
        <w:rPr>
          <w:sz w:val="24"/>
          <w:szCs w:val="24"/>
        </w:rPr>
        <w:t>и ООО</w:t>
      </w:r>
      <w:proofErr w:type="gramEnd"/>
      <w:r w:rsidR="009E0CF3" w:rsidRPr="009E0CF3">
        <w:rPr>
          <w:sz w:val="24"/>
          <w:szCs w:val="24"/>
        </w:rPr>
        <w:t xml:space="preserve"> «ЦКРТО» его единственным участником </w:t>
      </w:r>
      <w:r w:rsidR="009E0CF3">
        <w:rPr>
          <w:sz w:val="24"/>
          <w:szCs w:val="24"/>
        </w:rPr>
        <w:t xml:space="preserve">было принято досрочно прекратить полномочия генерального директора </w:t>
      </w:r>
      <w:proofErr w:type="spellStart"/>
      <w:r w:rsidR="009E0CF3">
        <w:rPr>
          <w:sz w:val="24"/>
          <w:szCs w:val="24"/>
        </w:rPr>
        <w:t>Таранова</w:t>
      </w:r>
      <w:proofErr w:type="spellEnd"/>
      <w:r w:rsidR="009E0CF3">
        <w:rPr>
          <w:sz w:val="24"/>
          <w:szCs w:val="24"/>
        </w:rPr>
        <w:t xml:space="preserve"> Д.В. с 01.07.2015 (решение и приказ прилагаются)».</w:t>
      </w:r>
      <w:bookmarkStart w:id="0" w:name="_GoBack"/>
      <w:bookmarkEnd w:id="0"/>
    </w:p>
    <w:p w:rsidR="00EA504A" w:rsidRPr="001F59AC" w:rsidRDefault="00EA504A">
      <w:pPr>
        <w:pStyle w:val="a6"/>
        <w:framePr w:wrap="none" w:vAnchor="page" w:hAnchor="page" w:x="6112" w:y="16141"/>
        <w:shd w:val="clear" w:color="auto" w:fill="auto"/>
        <w:spacing w:line="170" w:lineRule="exact"/>
        <w:ind w:left="20"/>
        <w:rPr>
          <w:sz w:val="24"/>
          <w:szCs w:val="24"/>
        </w:rPr>
      </w:pPr>
    </w:p>
    <w:p w:rsidR="00EA504A" w:rsidRPr="001F59AC" w:rsidRDefault="00EA504A"/>
    <w:sectPr w:rsidR="00EA504A" w:rsidRPr="001F59AC" w:rsidSect="00D72654">
      <w:pgSz w:w="11909" w:h="16838"/>
      <w:pgMar w:top="993" w:right="994" w:bottom="99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9AC" w:rsidRDefault="001F59AC">
      <w:r>
        <w:separator/>
      </w:r>
    </w:p>
  </w:endnote>
  <w:endnote w:type="continuationSeparator" w:id="0">
    <w:p w:rsidR="001F59AC" w:rsidRDefault="001F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9AC" w:rsidRDefault="001F59AC"/>
  </w:footnote>
  <w:footnote w:type="continuationSeparator" w:id="0">
    <w:p w:rsidR="001F59AC" w:rsidRDefault="001F59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48F"/>
    <w:multiLevelType w:val="multilevel"/>
    <w:tmpl w:val="ABF8B5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2671E"/>
    <w:multiLevelType w:val="multilevel"/>
    <w:tmpl w:val="4E56CE3A"/>
    <w:lvl w:ilvl="0">
      <w:start w:val="2013"/>
      <w:numFmt w:val="decimal"/>
      <w:lvlText w:val="0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43796"/>
    <w:multiLevelType w:val="multilevel"/>
    <w:tmpl w:val="42DE9D34"/>
    <w:lvl w:ilvl="0">
      <w:start w:val="2015"/>
      <w:numFmt w:val="decimal"/>
      <w:lvlText w:val="14.0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4A145E"/>
    <w:multiLevelType w:val="multilevel"/>
    <w:tmpl w:val="FED828DC"/>
    <w:lvl w:ilvl="0">
      <w:start w:val="2014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182810"/>
    <w:multiLevelType w:val="multilevel"/>
    <w:tmpl w:val="2CD67F28"/>
    <w:lvl w:ilvl="0">
      <w:start w:val="2012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7B6E9C"/>
    <w:multiLevelType w:val="multilevel"/>
    <w:tmpl w:val="392815C8"/>
    <w:lvl w:ilvl="0">
      <w:start w:val="2013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3120A7"/>
    <w:multiLevelType w:val="multilevel"/>
    <w:tmpl w:val="A8B0E56C"/>
    <w:lvl w:ilvl="0">
      <w:start w:val="2015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1C6BFE"/>
    <w:multiLevelType w:val="multilevel"/>
    <w:tmpl w:val="66FC4E20"/>
    <w:lvl w:ilvl="0">
      <w:start w:val="2013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745B2F"/>
    <w:multiLevelType w:val="multilevel"/>
    <w:tmpl w:val="ADF05FEA"/>
    <w:lvl w:ilvl="0">
      <w:start w:val="1"/>
      <w:numFmt w:val="upperRoman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93286E"/>
    <w:multiLevelType w:val="multilevel"/>
    <w:tmpl w:val="99E80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4A"/>
    <w:rsid w:val="001F59AC"/>
    <w:rsid w:val="00334865"/>
    <w:rsid w:val="003D07F6"/>
    <w:rsid w:val="005326DD"/>
    <w:rsid w:val="006001BF"/>
    <w:rsid w:val="007B7448"/>
    <w:rsid w:val="009C5803"/>
    <w:rsid w:val="009E0CF3"/>
    <w:rsid w:val="00BA55DD"/>
    <w:rsid w:val="00C14B0C"/>
    <w:rsid w:val="00D72654"/>
    <w:rsid w:val="00EA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8"/>
      <w:sz w:val="39"/>
      <w:szCs w:val="39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6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singl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55pt0pt">
    <w:name w:val="Основной текст + 5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1"/>
      <w:w w:val="100"/>
      <w:position w:val="0"/>
      <w:sz w:val="11"/>
      <w:szCs w:val="11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Gungsuh0pt">
    <w:name w:val="Основной текст (7) + Gungsuh;Не полужирный;Интервал 0 pt"/>
    <w:basedOn w:val="7"/>
    <w:rPr>
      <w:rFonts w:ascii="Gungsuh" w:eastAsia="Gungsuh" w:hAnsi="Gungsuh" w:cs="Gungsuh"/>
      <w:b/>
      <w:bCs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lang w:val="ru-RU"/>
    </w:rPr>
  </w:style>
  <w:style w:type="character" w:customStyle="1" w:styleId="755pt0pt">
    <w:name w:val="Основной текст (7) + 5;5 pt;Не полужирный;Интервал 0 pt"/>
    <w:basedOn w:val="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1"/>
      <w:w w:val="100"/>
      <w:position w:val="0"/>
      <w:sz w:val="11"/>
      <w:szCs w:val="11"/>
      <w:u w:val="none"/>
      <w:lang w:val="ru-RU"/>
    </w:rPr>
  </w:style>
  <w:style w:type="character" w:customStyle="1" w:styleId="7TimesNewRoman13pt0pt">
    <w:name w:val="Основной текст (7) + Times New Roman;13 pt;Курсив;Интервал 0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2"/>
      <w:w w:val="100"/>
      <w:position w:val="0"/>
      <w:sz w:val="26"/>
      <w:szCs w:val="26"/>
      <w:u w:val="single"/>
      <w:lang w:val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singl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8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Arial Narrow" w:eastAsia="Arial Narrow" w:hAnsi="Arial Narrow" w:cs="Arial Narrow"/>
      <w:b/>
      <w:bCs/>
      <w:spacing w:val="8"/>
      <w:sz w:val="39"/>
      <w:szCs w:val="3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211" w:lineRule="exact"/>
    </w:pPr>
    <w:rPr>
      <w:rFonts w:ascii="Arial Narrow" w:eastAsia="Arial Narrow" w:hAnsi="Arial Narrow" w:cs="Arial Narrow"/>
      <w:b/>
      <w:bCs/>
      <w:spacing w:val="-6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80" w:line="259" w:lineRule="exact"/>
      <w:jc w:val="center"/>
    </w:pPr>
    <w:rPr>
      <w:rFonts w:ascii="Times New Roman" w:eastAsia="Times New Roman" w:hAnsi="Times New Roman" w:cs="Times New Roman"/>
      <w:b/>
      <w:bCs/>
      <w:spacing w:val="-3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50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54" w:lineRule="exact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240" w:line="274" w:lineRule="exact"/>
      <w:ind w:hanging="300"/>
    </w:pPr>
    <w:rPr>
      <w:rFonts w:ascii="Times New Roman" w:eastAsia="Times New Roman" w:hAnsi="Times New Roman" w:cs="Times New Roman"/>
      <w:spacing w:val="-2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right"/>
    </w:pPr>
    <w:rPr>
      <w:rFonts w:ascii="Palatino Linotype" w:eastAsia="Palatino Linotype" w:hAnsi="Palatino Linotype" w:cs="Palatino Linotype"/>
      <w:b/>
      <w:bCs/>
      <w:sz w:val="13"/>
      <w:szCs w:val="1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83" w:lineRule="exact"/>
      <w:outlineLvl w:val="1"/>
    </w:pPr>
    <w:rPr>
      <w:rFonts w:ascii="Times New Roman" w:eastAsia="Times New Roman" w:hAnsi="Times New Roman" w:cs="Times New Roman"/>
      <w:spacing w:val="6"/>
      <w:sz w:val="19"/>
      <w:szCs w:val="19"/>
      <w:lang w:val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Malgun Gothic" w:eastAsia="Malgun Gothic" w:hAnsi="Malgun Gothic" w:cs="Malgun Gothic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8"/>
      <w:sz w:val="39"/>
      <w:szCs w:val="39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6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singl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55pt0pt">
    <w:name w:val="Основной текст + 5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1"/>
      <w:w w:val="100"/>
      <w:position w:val="0"/>
      <w:sz w:val="11"/>
      <w:szCs w:val="11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Gungsuh0pt">
    <w:name w:val="Основной текст (7) + Gungsuh;Не полужирный;Интервал 0 pt"/>
    <w:basedOn w:val="7"/>
    <w:rPr>
      <w:rFonts w:ascii="Gungsuh" w:eastAsia="Gungsuh" w:hAnsi="Gungsuh" w:cs="Gungsuh"/>
      <w:b/>
      <w:bCs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lang w:val="ru-RU"/>
    </w:rPr>
  </w:style>
  <w:style w:type="character" w:customStyle="1" w:styleId="755pt0pt">
    <w:name w:val="Основной текст (7) + 5;5 pt;Не полужирный;Интервал 0 pt"/>
    <w:basedOn w:val="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1"/>
      <w:w w:val="100"/>
      <w:position w:val="0"/>
      <w:sz w:val="11"/>
      <w:szCs w:val="11"/>
      <w:u w:val="none"/>
      <w:lang w:val="ru-RU"/>
    </w:rPr>
  </w:style>
  <w:style w:type="character" w:customStyle="1" w:styleId="7TimesNewRoman13pt0pt">
    <w:name w:val="Основной текст (7) + Times New Roman;13 pt;Курсив;Интервал 0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2"/>
      <w:w w:val="100"/>
      <w:position w:val="0"/>
      <w:sz w:val="26"/>
      <w:szCs w:val="26"/>
      <w:u w:val="single"/>
      <w:lang w:val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singl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8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Arial Narrow" w:eastAsia="Arial Narrow" w:hAnsi="Arial Narrow" w:cs="Arial Narrow"/>
      <w:b/>
      <w:bCs/>
      <w:spacing w:val="8"/>
      <w:sz w:val="39"/>
      <w:szCs w:val="3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211" w:lineRule="exact"/>
    </w:pPr>
    <w:rPr>
      <w:rFonts w:ascii="Arial Narrow" w:eastAsia="Arial Narrow" w:hAnsi="Arial Narrow" w:cs="Arial Narrow"/>
      <w:b/>
      <w:bCs/>
      <w:spacing w:val="-6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80" w:line="259" w:lineRule="exact"/>
      <w:jc w:val="center"/>
    </w:pPr>
    <w:rPr>
      <w:rFonts w:ascii="Times New Roman" w:eastAsia="Times New Roman" w:hAnsi="Times New Roman" w:cs="Times New Roman"/>
      <w:b/>
      <w:bCs/>
      <w:spacing w:val="-3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50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54" w:lineRule="exact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240" w:line="274" w:lineRule="exact"/>
      <w:ind w:hanging="300"/>
    </w:pPr>
    <w:rPr>
      <w:rFonts w:ascii="Times New Roman" w:eastAsia="Times New Roman" w:hAnsi="Times New Roman" w:cs="Times New Roman"/>
      <w:spacing w:val="-2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right"/>
    </w:pPr>
    <w:rPr>
      <w:rFonts w:ascii="Palatino Linotype" w:eastAsia="Palatino Linotype" w:hAnsi="Palatino Linotype" w:cs="Palatino Linotype"/>
      <w:b/>
      <w:bCs/>
      <w:sz w:val="13"/>
      <w:szCs w:val="1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83" w:lineRule="exact"/>
      <w:outlineLvl w:val="1"/>
    </w:pPr>
    <w:rPr>
      <w:rFonts w:ascii="Times New Roman" w:eastAsia="Times New Roman" w:hAnsi="Times New Roman" w:cs="Times New Roman"/>
      <w:spacing w:val="6"/>
      <w:sz w:val="19"/>
      <w:szCs w:val="19"/>
      <w:lang w:val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Malgun Gothic" w:eastAsia="Malgun Gothic" w:hAnsi="Malgun Gothic" w:cs="Malgun Gothic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A61E-85F4-4B2E-852E-B0059BC5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4216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28192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4</cp:revision>
  <dcterms:created xsi:type="dcterms:W3CDTF">2015-07-09T09:53:00Z</dcterms:created>
  <dcterms:modified xsi:type="dcterms:W3CDTF">2015-07-10T05:48:00Z</dcterms:modified>
</cp:coreProperties>
</file>